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sz w:val="22"/>
          <w:lang/>
        </w:rPr>
      </w:pPr>
      <w:r>
        <w:rPr>
          <w:rFonts w:hint="eastAsia" w:ascii="宋体" w:hAnsi="宋体"/>
          <w:b/>
          <w:sz w:val="36"/>
          <w:szCs w:val="36"/>
        </w:rPr>
        <w:t>目    录</w:t>
      </w:r>
      <w:r>
        <w:rPr>
          <w:rFonts w:ascii="宋体" w:hAnsi="宋体"/>
          <w:b/>
          <w:sz w:val="36"/>
          <w:szCs w:val="36"/>
        </w:rPr>
        <w:fldChar w:fldCharType="begin"/>
      </w:r>
      <w:r>
        <w:rPr>
          <w:rFonts w:ascii="宋体" w:hAnsi="宋体"/>
          <w:b/>
          <w:sz w:val="36"/>
          <w:szCs w:val="36"/>
        </w:rPr>
        <w:instrText xml:space="preserve"> TOC \o "1-3" \h \z \u </w:instrText>
      </w:r>
      <w:r>
        <w:rPr>
          <w:rFonts w:ascii="宋体" w:hAnsi="宋体"/>
          <w:b/>
          <w:sz w:val="36"/>
          <w:szCs w:val="36"/>
        </w:rPr>
        <w:fldChar w:fldCharType="separate"/>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"_Toc496105187"</w:instrText>
      </w:r>
      <w:r>
        <w:rPr>
          <w:rStyle w:val="18"/>
          <w:sz w:val="22"/>
          <w:lang/>
        </w:rPr>
        <w:instrText xml:space="preserve"> </w:instrText>
      </w:r>
      <w:r>
        <w:rPr>
          <w:sz w:val="22"/>
          <w:lang/>
        </w:rPr>
        <w:fldChar w:fldCharType="separate"/>
      </w:r>
      <w:r>
        <w:rPr>
          <w:rStyle w:val="18"/>
          <w:rFonts w:hint="eastAsia" w:ascii="宋体" w:hAnsi="宋体"/>
          <w:b/>
          <w:sz w:val="22"/>
          <w:lang/>
        </w:rPr>
        <w:t>第一节</w:t>
      </w:r>
      <w:r>
        <w:rPr>
          <w:rStyle w:val="18"/>
          <w:rFonts w:ascii="宋体" w:hAnsi="宋体"/>
          <w:b/>
          <w:sz w:val="22"/>
          <w:lang/>
        </w:rPr>
        <w:t xml:space="preserve">   </w:t>
      </w:r>
      <w:r>
        <w:rPr>
          <w:rStyle w:val="18"/>
          <w:rFonts w:hint="eastAsia" w:ascii="宋体" w:hAnsi="宋体"/>
          <w:b/>
          <w:sz w:val="22"/>
          <w:lang/>
        </w:rPr>
        <w:t>总</w:t>
      </w:r>
      <w:r>
        <w:rPr>
          <w:rStyle w:val="18"/>
          <w:rFonts w:ascii="宋体" w:hAnsi="宋体"/>
          <w:b/>
          <w:sz w:val="22"/>
          <w:lang/>
        </w:rPr>
        <w:t xml:space="preserve">   </w:t>
      </w:r>
      <w:r>
        <w:rPr>
          <w:rStyle w:val="18"/>
          <w:rFonts w:hint="eastAsia" w:ascii="宋体" w:hAnsi="宋体"/>
          <w:b/>
          <w:sz w:val="22"/>
          <w:lang/>
        </w:rPr>
        <w:t>论</w:t>
      </w:r>
      <w:r>
        <w:rPr>
          <w:sz w:val="22"/>
          <w:lang/>
        </w:rPr>
        <w:tab/>
      </w:r>
      <w:r>
        <w:rPr>
          <w:rFonts w:hint="eastAsia"/>
          <w:sz w:val="22"/>
          <w:lang/>
        </w:rPr>
        <w:t>2</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"_Toc496105188"</w:instrText>
      </w:r>
      <w:r>
        <w:rPr>
          <w:rStyle w:val="18"/>
          <w:sz w:val="22"/>
          <w:lang/>
        </w:rPr>
        <w:instrText xml:space="preserve"> </w:instrText>
      </w:r>
      <w:r>
        <w:rPr>
          <w:sz w:val="22"/>
          <w:lang/>
        </w:rPr>
        <w:fldChar w:fldCharType="separate"/>
      </w:r>
      <w:r>
        <w:rPr>
          <w:rStyle w:val="18"/>
          <w:rFonts w:hint="eastAsia" w:ascii="宋体" w:hAnsi="宋体"/>
          <w:b/>
          <w:sz w:val="22"/>
          <w:lang/>
        </w:rPr>
        <w:t>一、建设项目概况</w:t>
      </w:r>
      <w:r>
        <w:rPr>
          <w:sz w:val="22"/>
          <w:lang/>
        </w:rPr>
        <w:tab/>
      </w:r>
      <w:r>
        <w:rPr>
          <w:rFonts w:hint="eastAsia"/>
          <w:sz w:val="22"/>
          <w:lang/>
        </w:rPr>
        <w:t>2</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"_Toc496105189"</w:instrText>
      </w:r>
      <w:r>
        <w:rPr>
          <w:rStyle w:val="18"/>
          <w:sz w:val="22"/>
          <w:lang/>
        </w:rPr>
        <w:instrText xml:space="preserve"> </w:instrText>
      </w:r>
      <w:r>
        <w:rPr>
          <w:sz w:val="22"/>
          <w:lang/>
        </w:rPr>
        <w:fldChar w:fldCharType="separate"/>
      </w:r>
      <w:r>
        <w:rPr>
          <w:rStyle w:val="18"/>
          <w:rFonts w:hint="eastAsia" w:ascii="宋体" w:hAnsi="宋体"/>
          <w:b/>
          <w:sz w:val="22"/>
          <w:lang/>
        </w:rPr>
        <w:t>二、项目建议书编制依据</w:t>
      </w:r>
      <w:r>
        <w:rPr>
          <w:sz w:val="22"/>
          <w:lang/>
        </w:rPr>
        <w:tab/>
      </w:r>
      <w:r>
        <w:rPr>
          <w:rFonts w:hint="eastAsia"/>
          <w:sz w:val="22"/>
          <w:lang/>
        </w:rPr>
        <w:t>2</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"_Toc496105190"</w:instrText>
      </w:r>
      <w:r>
        <w:rPr>
          <w:rStyle w:val="18"/>
          <w:sz w:val="22"/>
          <w:lang/>
        </w:rPr>
        <w:instrText xml:space="preserve"> </w:instrText>
      </w:r>
      <w:r>
        <w:rPr>
          <w:sz w:val="22"/>
          <w:lang/>
        </w:rPr>
        <w:fldChar w:fldCharType="separate"/>
      </w:r>
      <w:r>
        <w:rPr>
          <w:rStyle w:val="18"/>
          <w:rFonts w:hint="eastAsia" w:ascii="宋体" w:hAnsi="宋体"/>
          <w:b/>
          <w:sz w:val="22"/>
          <w:lang/>
        </w:rPr>
        <w:t>三、项目建议书研究范围</w:t>
      </w:r>
      <w:r>
        <w:rPr>
          <w:sz w:val="22"/>
          <w:lang/>
        </w:rPr>
        <w:tab/>
      </w:r>
      <w:r>
        <w:rPr>
          <w:rFonts w:hint="eastAsia"/>
          <w:sz w:val="22"/>
          <w:lang/>
        </w:rPr>
        <w:t>3</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"_Toc496105191"</w:instrText>
      </w:r>
      <w:r>
        <w:rPr>
          <w:rStyle w:val="18"/>
          <w:sz w:val="22"/>
          <w:lang/>
        </w:rPr>
        <w:instrText xml:space="preserve"> </w:instrText>
      </w:r>
      <w:r>
        <w:rPr>
          <w:sz w:val="22"/>
          <w:lang/>
        </w:rPr>
        <w:fldChar w:fldCharType="separate"/>
      </w:r>
      <w:r>
        <w:rPr>
          <w:rStyle w:val="18"/>
          <w:rFonts w:hint="eastAsia" w:ascii="宋体" w:hAnsi="宋体"/>
          <w:b/>
          <w:sz w:val="22"/>
          <w:lang/>
        </w:rPr>
        <w:t>四、主要结论</w:t>
      </w:r>
      <w:r>
        <w:rPr>
          <w:sz w:val="22"/>
          <w:lang/>
        </w:rPr>
        <w:tab/>
      </w:r>
      <w:r>
        <w:rPr>
          <w:rFonts w:hint="eastAsia"/>
          <w:sz w:val="22"/>
          <w:lang/>
        </w:rPr>
        <w:t>3</w:t>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"_Toc496105192"</w:instrText>
      </w:r>
      <w:r>
        <w:rPr>
          <w:rStyle w:val="18"/>
          <w:sz w:val="22"/>
          <w:lang/>
        </w:rPr>
        <w:instrText xml:space="preserve"> </w:instrText>
      </w:r>
      <w:r>
        <w:rPr>
          <w:sz w:val="22"/>
          <w:lang/>
        </w:rPr>
        <w:fldChar w:fldCharType="separate"/>
      </w:r>
      <w:r>
        <w:rPr>
          <w:rStyle w:val="18"/>
          <w:rFonts w:hint="eastAsia" w:ascii="宋体" w:hAnsi="宋体"/>
          <w:b/>
          <w:sz w:val="22"/>
          <w:lang/>
        </w:rPr>
        <w:t>第二节</w:t>
      </w:r>
      <w:r>
        <w:rPr>
          <w:rStyle w:val="18"/>
          <w:rFonts w:ascii="宋体" w:hAnsi="宋体"/>
          <w:b/>
          <w:sz w:val="22"/>
          <w:lang/>
        </w:rPr>
        <w:t xml:space="preserve">   </w:t>
      </w:r>
      <w:r>
        <w:rPr>
          <w:rStyle w:val="18"/>
          <w:rFonts w:hint="eastAsia" w:ascii="宋体" w:hAnsi="宋体"/>
          <w:b/>
          <w:sz w:val="22"/>
          <w:lang/>
        </w:rPr>
        <w:t>项目建设背景及必要性</w:t>
      </w:r>
      <w:r>
        <w:rPr>
          <w:sz w:val="22"/>
          <w:lang/>
        </w:rPr>
        <w:tab/>
      </w:r>
      <w:r>
        <w:rPr>
          <w:rFonts w:hint="eastAsia"/>
          <w:sz w:val="22"/>
          <w:lang/>
        </w:rPr>
        <w:t>4</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"_Toc496105193"</w:instrText>
      </w:r>
      <w:r>
        <w:rPr>
          <w:rStyle w:val="18"/>
          <w:sz w:val="22"/>
          <w:lang/>
        </w:rPr>
        <w:instrText xml:space="preserve"> </w:instrText>
      </w:r>
      <w:r>
        <w:rPr>
          <w:sz w:val="22"/>
          <w:lang/>
        </w:rPr>
        <w:fldChar w:fldCharType="separate"/>
      </w:r>
      <w:r>
        <w:rPr>
          <w:rStyle w:val="18"/>
          <w:rFonts w:hint="eastAsia" w:ascii="宋体" w:hAnsi="宋体"/>
          <w:b/>
          <w:sz w:val="22"/>
          <w:lang/>
        </w:rPr>
        <w:t>一、项目建设背景</w:t>
      </w:r>
      <w:r>
        <w:rPr>
          <w:sz w:val="22"/>
          <w:lang/>
        </w:rPr>
        <w:tab/>
      </w:r>
      <w:r>
        <w:rPr>
          <w:rFonts w:hint="eastAsia"/>
          <w:sz w:val="22"/>
          <w:lang/>
        </w:rPr>
        <w:t>4</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"_Toc496105194"</w:instrText>
      </w:r>
      <w:r>
        <w:rPr>
          <w:rStyle w:val="18"/>
          <w:sz w:val="22"/>
          <w:lang/>
        </w:rPr>
        <w:instrText xml:space="preserve"> </w:instrText>
      </w:r>
      <w:r>
        <w:rPr>
          <w:sz w:val="22"/>
          <w:lang/>
        </w:rPr>
        <w:fldChar w:fldCharType="separate"/>
      </w:r>
      <w:r>
        <w:rPr>
          <w:rStyle w:val="18"/>
          <w:rFonts w:hint="eastAsia" w:ascii="宋体" w:hAnsi="宋体"/>
          <w:b/>
          <w:sz w:val="22"/>
          <w:lang/>
        </w:rPr>
        <w:t>二、项目建设的必要性</w:t>
      </w:r>
      <w:r>
        <w:rPr>
          <w:sz w:val="22"/>
          <w:lang/>
        </w:rPr>
        <w:tab/>
      </w:r>
      <w:r>
        <w:rPr>
          <w:rFonts w:hint="eastAsia"/>
          <w:sz w:val="22"/>
          <w:lang/>
        </w:rPr>
        <w:t>6</w:t>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"_Toc496105195"</w:instrText>
      </w:r>
      <w:r>
        <w:rPr>
          <w:rStyle w:val="18"/>
          <w:sz w:val="22"/>
          <w:lang/>
        </w:rPr>
        <w:instrText xml:space="preserve"> </w:instrText>
      </w:r>
      <w:r>
        <w:rPr>
          <w:sz w:val="22"/>
          <w:lang/>
        </w:rPr>
        <w:fldChar w:fldCharType="separate"/>
      </w:r>
      <w:r>
        <w:rPr>
          <w:rStyle w:val="18"/>
          <w:rFonts w:hint="eastAsia" w:ascii="宋体" w:hAnsi="宋体"/>
          <w:b/>
          <w:sz w:val="22"/>
          <w:lang/>
        </w:rPr>
        <w:t>第三节</w:t>
      </w:r>
      <w:r>
        <w:rPr>
          <w:rStyle w:val="18"/>
          <w:rFonts w:ascii="宋体" w:hAnsi="宋体"/>
          <w:b/>
          <w:sz w:val="22"/>
          <w:lang/>
        </w:rPr>
        <w:t xml:space="preserve">   </w:t>
      </w:r>
      <w:r>
        <w:rPr>
          <w:rStyle w:val="18"/>
          <w:rFonts w:hint="eastAsia" w:ascii="宋体" w:hAnsi="宋体"/>
          <w:b/>
          <w:sz w:val="22"/>
          <w:lang/>
        </w:rPr>
        <w:t>项目建设规模的确定</w:t>
      </w:r>
      <w:r>
        <w:rPr>
          <w:sz w:val="22"/>
          <w:lang/>
        </w:rPr>
        <w:tab/>
      </w:r>
      <w:r>
        <w:rPr>
          <w:rFonts w:hint="eastAsia"/>
          <w:sz w:val="22"/>
          <w:lang/>
        </w:rPr>
        <w:t>11</w:t>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"_Toc496105196"</w:instrText>
      </w:r>
      <w:r>
        <w:rPr>
          <w:rStyle w:val="18"/>
          <w:sz w:val="22"/>
          <w:lang/>
        </w:rPr>
        <w:instrText xml:space="preserve"> </w:instrText>
      </w:r>
      <w:r>
        <w:rPr>
          <w:sz w:val="22"/>
          <w:lang/>
        </w:rPr>
        <w:fldChar w:fldCharType="separate"/>
      </w:r>
      <w:r>
        <w:rPr>
          <w:rStyle w:val="18"/>
          <w:rFonts w:hint="eastAsia" w:ascii="宋体" w:hAnsi="宋体"/>
          <w:b/>
          <w:sz w:val="22"/>
          <w:lang/>
        </w:rPr>
        <w:t>第四节</w:t>
      </w:r>
      <w:r>
        <w:rPr>
          <w:rStyle w:val="18"/>
          <w:rFonts w:ascii="宋体" w:hAnsi="宋体"/>
          <w:b/>
          <w:sz w:val="22"/>
          <w:lang/>
        </w:rPr>
        <w:t xml:space="preserve">   </w:t>
      </w:r>
      <w:r>
        <w:rPr>
          <w:rStyle w:val="18"/>
          <w:rFonts w:hint="eastAsia" w:ascii="宋体" w:hAnsi="宋体"/>
          <w:b/>
          <w:sz w:val="22"/>
          <w:lang/>
        </w:rPr>
        <w:t>项目选址与建设条件</w:t>
      </w:r>
      <w:r>
        <w:rPr>
          <w:sz w:val="22"/>
          <w:lang/>
        </w:rPr>
        <w:tab/>
      </w:r>
      <w:r>
        <w:rPr>
          <w:sz w:val="22"/>
          <w:lang/>
        </w:rPr>
        <w:fldChar w:fldCharType="begin"/>
      </w:r>
      <w:r>
        <w:rPr>
          <w:sz w:val="22"/>
          <w:lang/>
        </w:rPr>
        <w:instrText xml:space="preserve"> PAGEREF _Toc496105196 \h </w:instrText>
      </w:r>
      <w:r>
        <w:rPr>
          <w:sz w:val="22"/>
          <w:lang/>
        </w:rPr>
        <w:fldChar w:fldCharType="separate"/>
      </w:r>
      <w:r>
        <w:rPr>
          <w:sz w:val="22"/>
          <w:lang/>
        </w:rPr>
        <w:t>13</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"_Toc496105197"</w:instrText>
      </w:r>
      <w:r>
        <w:rPr>
          <w:rStyle w:val="18"/>
          <w:sz w:val="22"/>
          <w:lang/>
        </w:rPr>
        <w:instrText xml:space="preserve"> </w:instrText>
      </w:r>
      <w:r>
        <w:rPr>
          <w:sz w:val="22"/>
          <w:lang/>
        </w:rPr>
        <w:fldChar w:fldCharType="separate"/>
      </w:r>
      <w:r>
        <w:rPr>
          <w:rStyle w:val="18"/>
          <w:rFonts w:hint="eastAsia" w:ascii="宋体" w:hAnsi="宋体"/>
          <w:b/>
          <w:sz w:val="22"/>
          <w:lang/>
        </w:rPr>
        <w:t>一、项目选址</w:t>
      </w:r>
      <w:r>
        <w:rPr>
          <w:sz w:val="22"/>
          <w:lang/>
        </w:rPr>
        <w:tab/>
      </w:r>
      <w:r>
        <w:rPr>
          <w:sz w:val="22"/>
          <w:lang/>
        </w:rPr>
        <w:fldChar w:fldCharType="begin"/>
      </w:r>
      <w:r>
        <w:rPr>
          <w:sz w:val="22"/>
          <w:lang/>
        </w:rPr>
        <w:instrText xml:space="preserve"> PAGEREF _Toc496105197 \h </w:instrText>
      </w:r>
      <w:r>
        <w:rPr>
          <w:sz w:val="22"/>
          <w:lang/>
        </w:rPr>
        <w:fldChar w:fldCharType="separate"/>
      </w:r>
      <w:r>
        <w:rPr>
          <w:sz w:val="22"/>
          <w:lang/>
        </w:rPr>
        <w:t>13</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"_Toc496105198"</w:instrText>
      </w:r>
      <w:r>
        <w:rPr>
          <w:rStyle w:val="18"/>
          <w:sz w:val="22"/>
          <w:lang/>
        </w:rPr>
        <w:instrText xml:space="preserve"> </w:instrText>
      </w:r>
      <w:r>
        <w:rPr>
          <w:sz w:val="22"/>
          <w:lang/>
        </w:rPr>
        <w:fldChar w:fldCharType="separate"/>
      </w:r>
      <w:r>
        <w:rPr>
          <w:rStyle w:val="18"/>
          <w:rFonts w:hint="eastAsia" w:ascii="宋体" w:hAnsi="宋体"/>
          <w:b/>
          <w:sz w:val="22"/>
          <w:lang/>
        </w:rPr>
        <w:t>二、</w:t>
      </w:r>
      <w:r>
        <w:rPr>
          <w:rStyle w:val="18"/>
          <w:rFonts w:ascii="宋体" w:hAnsi="宋体"/>
          <w:b/>
          <w:sz w:val="22"/>
          <w:lang/>
        </w:rPr>
        <w:t xml:space="preserve"> </w:t>
      </w:r>
      <w:r>
        <w:rPr>
          <w:rStyle w:val="18"/>
          <w:rFonts w:hint="eastAsia" w:ascii="宋体" w:hAnsi="宋体"/>
          <w:b/>
          <w:sz w:val="22"/>
          <w:lang/>
        </w:rPr>
        <w:t>建设条件</w:t>
      </w:r>
      <w:r>
        <w:rPr>
          <w:sz w:val="22"/>
          <w:lang/>
        </w:rPr>
        <w:tab/>
      </w:r>
      <w:r>
        <w:rPr>
          <w:sz w:val="22"/>
          <w:lang/>
        </w:rPr>
        <w:fldChar w:fldCharType="begin"/>
      </w:r>
      <w:r>
        <w:rPr>
          <w:sz w:val="22"/>
          <w:lang/>
        </w:rPr>
        <w:instrText xml:space="preserve"> PAGEREF _Toc496105198 \h </w:instrText>
      </w:r>
      <w:r>
        <w:rPr>
          <w:sz w:val="22"/>
          <w:lang/>
        </w:rPr>
        <w:fldChar w:fldCharType="separate"/>
      </w:r>
      <w:r>
        <w:rPr>
          <w:sz w:val="22"/>
          <w:lang/>
        </w:rPr>
        <w:t>13</w:t>
      </w:r>
      <w:r>
        <w:rPr>
          <w:sz w:val="22"/>
          <w:lang/>
        </w:rPr>
        <w:fldChar w:fldCharType="end"/>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"_Toc496105199"</w:instrText>
      </w:r>
      <w:r>
        <w:rPr>
          <w:rStyle w:val="18"/>
          <w:sz w:val="22"/>
          <w:lang/>
        </w:rPr>
        <w:instrText xml:space="preserve"> </w:instrText>
      </w:r>
      <w:r>
        <w:rPr>
          <w:sz w:val="22"/>
          <w:lang/>
        </w:rPr>
        <w:fldChar w:fldCharType="separate"/>
      </w:r>
      <w:r>
        <w:rPr>
          <w:rStyle w:val="18"/>
          <w:rFonts w:hint="eastAsia" w:ascii="宋体" w:hAnsi="宋体"/>
          <w:b/>
          <w:sz w:val="22"/>
          <w:lang/>
        </w:rPr>
        <w:t>第五节</w:t>
      </w:r>
      <w:r>
        <w:rPr>
          <w:rStyle w:val="18"/>
          <w:rFonts w:ascii="宋体" w:hAnsi="宋体"/>
          <w:b/>
          <w:sz w:val="22"/>
          <w:lang/>
        </w:rPr>
        <w:t xml:space="preserve">   </w:t>
      </w:r>
      <w:r>
        <w:rPr>
          <w:rStyle w:val="18"/>
          <w:rFonts w:hint="eastAsia" w:ascii="宋体" w:hAnsi="宋体"/>
          <w:b/>
          <w:sz w:val="22"/>
          <w:lang/>
        </w:rPr>
        <w:t>总体建设方案</w:t>
      </w:r>
      <w:r>
        <w:rPr>
          <w:sz w:val="22"/>
          <w:lang/>
        </w:rPr>
        <w:tab/>
      </w:r>
      <w:r>
        <w:rPr>
          <w:sz w:val="22"/>
          <w:lang/>
        </w:rPr>
        <w:fldChar w:fldCharType="begin"/>
      </w:r>
      <w:r>
        <w:rPr>
          <w:sz w:val="22"/>
          <w:lang/>
        </w:rPr>
        <w:instrText xml:space="preserve"> PAGEREF _Toc496105199 \h </w:instrText>
      </w:r>
      <w:r>
        <w:rPr>
          <w:sz w:val="22"/>
          <w:lang/>
        </w:rPr>
        <w:fldChar w:fldCharType="separate"/>
      </w:r>
      <w:r>
        <w:rPr>
          <w:sz w:val="22"/>
          <w:lang/>
        </w:rPr>
        <w:t>17</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"_Toc496105200"</w:instrText>
      </w:r>
      <w:r>
        <w:rPr>
          <w:rStyle w:val="18"/>
          <w:sz w:val="22"/>
          <w:lang/>
        </w:rPr>
        <w:instrText xml:space="preserve"> </w:instrText>
      </w:r>
      <w:r>
        <w:rPr>
          <w:sz w:val="22"/>
          <w:lang/>
        </w:rPr>
        <w:fldChar w:fldCharType="separate"/>
      </w:r>
      <w:r>
        <w:rPr>
          <w:rStyle w:val="18"/>
          <w:rFonts w:hint="eastAsia" w:ascii="宋体" w:hAnsi="宋体"/>
          <w:b/>
          <w:sz w:val="22"/>
          <w:lang/>
        </w:rPr>
        <w:t>一、建设设计指导思想与原则及设计依据</w:t>
      </w:r>
      <w:r>
        <w:rPr>
          <w:sz w:val="22"/>
          <w:lang/>
        </w:rPr>
        <w:tab/>
      </w:r>
      <w:r>
        <w:rPr>
          <w:sz w:val="22"/>
          <w:lang/>
        </w:rPr>
        <w:fldChar w:fldCharType="begin"/>
      </w:r>
      <w:r>
        <w:rPr>
          <w:sz w:val="22"/>
          <w:lang/>
        </w:rPr>
        <w:instrText xml:space="preserve"> PAGEREF _Toc496105200 \h </w:instrText>
      </w:r>
      <w:r>
        <w:rPr>
          <w:sz w:val="22"/>
          <w:lang/>
        </w:rPr>
        <w:fldChar w:fldCharType="separate"/>
      </w:r>
      <w:r>
        <w:rPr>
          <w:sz w:val="22"/>
          <w:lang/>
        </w:rPr>
        <w:t>17</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"_Toc496105201"</w:instrText>
      </w:r>
      <w:r>
        <w:rPr>
          <w:rStyle w:val="18"/>
          <w:sz w:val="22"/>
          <w:lang/>
        </w:rPr>
        <w:instrText xml:space="preserve"> </w:instrText>
      </w:r>
      <w:r>
        <w:rPr>
          <w:sz w:val="22"/>
          <w:lang/>
        </w:rPr>
        <w:fldChar w:fldCharType="separate"/>
      </w:r>
      <w:r>
        <w:rPr>
          <w:rStyle w:val="18"/>
          <w:rFonts w:hint="eastAsia" w:ascii="宋体" w:hAnsi="宋体"/>
          <w:b/>
          <w:sz w:val="22"/>
          <w:lang/>
        </w:rPr>
        <w:t>二、具体方案设计</w:t>
      </w:r>
      <w:r>
        <w:rPr>
          <w:sz w:val="22"/>
          <w:lang/>
        </w:rPr>
        <w:tab/>
      </w:r>
      <w:r>
        <w:rPr>
          <w:sz w:val="22"/>
          <w:lang/>
        </w:rPr>
        <w:fldChar w:fldCharType="begin"/>
      </w:r>
      <w:r>
        <w:rPr>
          <w:sz w:val="22"/>
          <w:lang/>
        </w:rPr>
        <w:instrText xml:space="preserve"> PAGEREF _Toc496105201 \h </w:instrText>
      </w:r>
      <w:r>
        <w:rPr>
          <w:sz w:val="22"/>
          <w:lang/>
        </w:rPr>
        <w:fldChar w:fldCharType="separate"/>
      </w:r>
      <w:r>
        <w:rPr>
          <w:sz w:val="22"/>
          <w:lang/>
        </w:rPr>
        <w:t>18</w:t>
      </w:r>
      <w:r>
        <w:rPr>
          <w:sz w:val="22"/>
          <w:lang/>
        </w:rPr>
        <w:fldChar w:fldCharType="end"/>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"_Toc496105202"</w:instrText>
      </w:r>
      <w:r>
        <w:rPr>
          <w:rStyle w:val="18"/>
          <w:sz w:val="22"/>
          <w:lang/>
        </w:rPr>
        <w:instrText xml:space="preserve"> </w:instrText>
      </w:r>
      <w:r>
        <w:rPr>
          <w:sz w:val="22"/>
          <w:lang/>
        </w:rPr>
        <w:fldChar w:fldCharType="separate"/>
      </w:r>
      <w:r>
        <w:rPr>
          <w:rStyle w:val="18"/>
          <w:rFonts w:hint="eastAsia" w:ascii="宋体" w:hAnsi="宋体"/>
          <w:b/>
          <w:sz w:val="22"/>
          <w:lang/>
        </w:rPr>
        <w:t>第六节</w:t>
      </w:r>
      <w:r>
        <w:rPr>
          <w:rStyle w:val="18"/>
          <w:rFonts w:ascii="宋体" w:hAnsi="宋体"/>
          <w:b/>
          <w:sz w:val="22"/>
          <w:lang/>
        </w:rPr>
        <w:t xml:space="preserve">   </w:t>
      </w:r>
      <w:r>
        <w:rPr>
          <w:rStyle w:val="18"/>
          <w:rFonts w:hint="eastAsia" w:ascii="宋体" w:hAnsi="宋体"/>
          <w:b/>
          <w:sz w:val="22"/>
          <w:lang/>
        </w:rPr>
        <w:t>环境影响评价与安全防护</w:t>
      </w:r>
      <w:r>
        <w:rPr>
          <w:sz w:val="22"/>
          <w:lang/>
        </w:rPr>
        <w:tab/>
      </w:r>
      <w:r>
        <w:rPr>
          <w:sz w:val="22"/>
          <w:lang/>
        </w:rPr>
        <w:fldChar w:fldCharType="begin"/>
      </w:r>
      <w:r>
        <w:rPr>
          <w:sz w:val="22"/>
          <w:lang/>
        </w:rPr>
        <w:instrText xml:space="preserve"> PAGEREF _Toc496105202 \h </w:instrText>
      </w:r>
      <w:r>
        <w:rPr>
          <w:sz w:val="22"/>
          <w:lang/>
        </w:rPr>
        <w:fldChar w:fldCharType="separate"/>
      </w:r>
      <w:r>
        <w:rPr>
          <w:sz w:val="22"/>
          <w:lang/>
        </w:rPr>
        <w:t>22</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"_Toc496105203"</w:instrText>
      </w:r>
      <w:r>
        <w:rPr>
          <w:rStyle w:val="18"/>
          <w:sz w:val="22"/>
          <w:lang/>
        </w:rPr>
        <w:instrText xml:space="preserve"> </w:instrText>
      </w:r>
      <w:r>
        <w:rPr>
          <w:sz w:val="22"/>
          <w:lang/>
        </w:rPr>
        <w:fldChar w:fldCharType="separate"/>
      </w:r>
      <w:r>
        <w:rPr>
          <w:rStyle w:val="18"/>
          <w:rFonts w:hint="eastAsia" w:ascii="宋体" w:hAnsi="宋体"/>
          <w:b/>
          <w:sz w:val="22"/>
          <w:lang/>
        </w:rPr>
        <w:t>一、环境影响评价</w:t>
      </w:r>
      <w:r>
        <w:rPr>
          <w:sz w:val="22"/>
          <w:lang/>
        </w:rPr>
        <w:tab/>
      </w:r>
      <w:r>
        <w:rPr>
          <w:sz w:val="22"/>
          <w:lang/>
        </w:rPr>
        <w:fldChar w:fldCharType="begin"/>
      </w:r>
      <w:r>
        <w:rPr>
          <w:sz w:val="22"/>
          <w:lang/>
        </w:rPr>
        <w:instrText xml:space="preserve"> PAGEREF _Toc496105203 \h </w:instrText>
      </w:r>
      <w:r>
        <w:rPr>
          <w:sz w:val="22"/>
          <w:lang/>
        </w:rPr>
        <w:fldChar w:fldCharType="separate"/>
      </w:r>
      <w:r>
        <w:rPr>
          <w:sz w:val="22"/>
          <w:lang/>
        </w:rPr>
        <w:t>22</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"_Toc496105204"</w:instrText>
      </w:r>
      <w:r>
        <w:rPr>
          <w:rStyle w:val="18"/>
          <w:sz w:val="22"/>
          <w:lang/>
        </w:rPr>
        <w:instrText xml:space="preserve"> </w:instrText>
      </w:r>
      <w:r>
        <w:rPr>
          <w:sz w:val="22"/>
          <w:lang/>
        </w:rPr>
        <w:fldChar w:fldCharType="separate"/>
      </w:r>
      <w:r>
        <w:rPr>
          <w:rStyle w:val="18"/>
          <w:rFonts w:hint="eastAsia" w:ascii="宋体" w:hAnsi="宋体"/>
          <w:b/>
          <w:sz w:val="22"/>
          <w:lang/>
        </w:rPr>
        <w:t>二、消防安全卫生</w:t>
      </w:r>
      <w:r>
        <w:rPr>
          <w:sz w:val="22"/>
          <w:lang/>
        </w:rPr>
        <w:tab/>
      </w:r>
      <w:r>
        <w:rPr>
          <w:rFonts w:hint="eastAsia"/>
          <w:sz w:val="22"/>
          <w:lang/>
        </w:rPr>
        <w:t>22</w:t>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"_Toc496105205"</w:instrText>
      </w:r>
      <w:r>
        <w:rPr>
          <w:rStyle w:val="18"/>
          <w:sz w:val="22"/>
          <w:lang/>
        </w:rPr>
        <w:instrText xml:space="preserve"> </w:instrText>
      </w:r>
      <w:r>
        <w:rPr>
          <w:sz w:val="22"/>
          <w:lang/>
        </w:rPr>
        <w:fldChar w:fldCharType="separate"/>
      </w:r>
      <w:r>
        <w:rPr>
          <w:rStyle w:val="18"/>
          <w:rFonts w:hint="eastAsia" w:ascii="宋体" w:hAnsi="宋体"/>
          <w:b/>
          <w:sz w:val="22"/>
          <w:lang/>
        </w:rPr>
        <w:t>第七节</w:t>
      </w:r>
      <w:r>
        <w:rPr>
          <w:rStyle w:val="18"/>
          <w:rFonts w:ascii="宋体" w:hAnsi="宋体"/>
          <w:b/>
          <w:sz w:val="22"/>
          <w:lang/>
        </w:rPr>
        <w:t xml:space="preserve">   </w:t>
      </w:r>
      <w:r>
        <w:rPr>
          <w:rStyle w:val="18"/>
          <w:rFonts w:hint="eastAsia" w:ascii="宋体" w:hAnsi="宋体"/>
          <w:b/>
          <w:sz w:val="22"/>
          <w:lang/>
        </w:rPr>
        <w:t>节能方案评价</w:t>
      </w:r>
      <w:r>
        <w:rPr>
          <w:sz w:val="22"/>
          <w:lang/>
        </w:rPr>
        <w:tab/>
      </w:r>
      <w:r>
        <w:rPr>
          <w:sz w:val="22"/>
          <w:lang/>
        </w:rPr>
        <w:fldChar w:fldCharType="begin"/>
      </w:r>
      <w:r>
        <w:rPr>
          <w:sz w:val="22"/>
          <w:lang/>
        </w:rPr>
        <w:instrText xml:space="preserve"> PAGEREF _Toc496105205 \h </w:instrText>
      </w:r>
      <w:r>
        <w:rPr>
          <w:sz w:val="22"/>
          <w:lang/>
        </w:rPr>
        <w:fldChar w:fldCharType="separate"/>
      </w:r>
      <w:r>
        <w:rPr>
          <w:sz w:val="22"/>
          <w:lang/>
        </w:rPr>
        <w:t>25</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"_Toc496105206"</w:instrText>
      </w:r>
      <w:r>
        <w:rPr>
          <w:rStyle w:val="18"/>
          <w:sz w:val="22"/>
          <w:lang/>
        </w:rPr>
        <w:instrText xml:space="preserve"> </w:instrText>
      </w:r>
      <w:r>
        <w:rPr>
          <w:sz w:val="22"/>
          <w:lang/>
        </w:rPr>
        <w:fldChar w:fldCharType="separate"/>
      </w:r>
      <w:r>
        <w:rPr>
          <w:rStyle w:val="18"/>
          <w:rFonts w:hint="eastAsia" w:ascii="宋体" w:hAnsi="宋体"/>
          <w:b/>
          <w:sz w:val="22"/>
          <w:lang/>
        </w:rPr>
        <w:t>一、节能综述</w:t>
      </w:r>
      <w:r>
        <w:rPr>
          <w:sz w:val="22"/>
          <w:lang/>
        </w:rPr>
        <w:tab/>
      </w:r>
      <w:r>
        <w:rPr>
          <w:sz w:val="22"/>
          <w:lang/>
        </w:rPr>
        <w:fldChar w:fldCharType="begin"/>
      </w:r>
      <w:r>
        <w:rPr>
          <w:sz w:val="22"/>
          <w:lang/>
        </w:rPr>
        <w:instrText xml:space="preserve"> PAGEREF _Toc496105206 \h </w:instrText>
      </w:r>
      <w:r>
        <w:rPr>
          <w:sz w:val="22"/>
          <w:lang/>
        </w:rPr>
        <w:fldChar w:fldCharType="separate"/>
      </w:r>
      <w:r>
        <w:rPr>
          <w:sz w:val="22"/>
          <w:lang/>
        </w:rPr>
        <w:t>25</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"_Toc496105207"</w:instrText>
      </w:r>
      <w:r>
        <w:rPr>
          <w:rStyle w:val="18"/>
          <w:sz w:val="22"/>
          <w:lang/>
        </w:rPr>
        <w:instrText xml:space="preserve"> </w:instrText>
      </w:r>
      <w:r>
        <w:rPr>
          <w:sz w:val="22"/>
          <w:lang/>
        </w:rPr>
        <w:fldChar w:fldCharType="separate"/>
      </w:r>
      <w:r>
        <w:rPr>
          <w:rStyle w:val="18"/>
          <w:rFonts w:hint="eastAsia" w:ascii="宋体" w:hAnsi="宋体"/>
          <w:b/>
          <w:sz w:val="22"/>
          <w:lang/>
        </w:rPr>
        <w:t>二、节能措施</w:t>
      </w:r>
      <w:r>
        <w:rPr>
          <w:sz w:val="22"/>
          <w:lang/>
        </w:rPr>
        <w:tab/>
      </w:r>
      <w:r>
        <w:rPr>
          <w:sz w:val="22"/>
          <w:lang/>
        </w:rPr>
        <w:fldChar w:fldCharType="begin"/>
      </w:r>
      <w:r>
        <w:rPr>
          <w:sz w:val="22"/>
          <w:lang/>
        </w:rPr>
        <w:instrText xml:space="preserve"> PAGEREF _Toc496105207 \h </w:instrText>
      </w:r>
      <w:r>
        <w:rPr>
          <w:sz w:val="22"/>
          <w:lang/>
        </w:rPr>
        <w:fldChar w:fldCharType="separate"/>
      </w:r>
      <w:r>
        <w:rPr>
          <w:sz w:val="22"/>
          <w:lang/>
        </w:rPr>
        <w:t>25</w:t>
      </w:r>
      <w:r>
        <w:rPr>
          <w:sz w:val="22"/>
          <w:lang/>
        </w:rPr>
        <w:fldChar w:fldCharType="end"/>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"_Toc496105208"</w:instrText>
      </w:r>
      <w:r>
        <w:rPr>
          <w:rStyle w:val="18"/>
          <w:sz w:val="22"/>
          <w:lang/>
        </w:rPr>
        <w:instrText xml:space="preserve"> </w:instrText>
      </w:r>
      <w:r>
        <w:rPr>
          <w:sz w:val="22"/>
          <w:lang/>
        </w:rPr>
        <w:fldChar w:fldCharType="separate"/>
      </w:r>
      <w:r>
        <w:rPr>
          <w:rStyle w:val="18"/>
          <w:rFonts w:hint="eastAsia" w:ascii="宋体" w:hAnsi="宋体" w:cs="宋体"/>
          <w:b/>
          <w:sz w:val="22"/>
          <w:lang/>
        </w:rPr>
        <w:t>第八节</w:t>
      </w:r>
      <w:r>
        <w:rPr>
          <w:rStyle w:val="18"/>
          <w:rFonts w:ascii="宋体" w:hAnsi="宋体" w:cs="宋体"/>
          <w:b/>
          <w:sz w:val="22"/>
          <w:lang/>
        </w:rPr>
        <w:t xml:space="preserve">   </w:t>
      </w:r>
      <w:r>
        <w:rPr>
          <w:rStyle w:val="18"/>
          <w:rFonts w:hint="eastAsia" w:ascii="宋体" w:hAnsi="宋体" w:cs="宋体"/>
          <w:b/>
          <w:sz w:val="22"/>
          <w:lang/>
        </w:rPr>
        <w:t>水土保持</w:t>
      </w:r>
      <w:r>
        <w:rPr>
          <w:sz w:val="22"/>
          <w:lang/>
        </w:rPr>
        <w:tab/>
      </w:r>
      <w:r>
        <w:rPr>
          <w:sz w:val="22"/>
          <w:lang/>
        </w:rPr>
        <w:fldChar w:fldCharType="begin"/>
      </w:r>
      <w:r>
        <w:rPr>
          <w:sz w:val="22"/>
          <w:lang/>
        </w:rPr>
        <w:instrText xml:space="preserve"> PAGEREF _Toc496105208 \h </w:instrText>
      </w:r>
      <w:r>
        <w:rPr>
          <w:sz w:val="22"/>
          <w:lang/>
        </w:rPr>
        <w:fldChar w:fldCharType="separate"/>
      </w:r>
      <w:r>
        <w:rPr>
          <w:sz w:val="22"/>
          <w:lang/>
        </w:rPr>
        <w:t>27</w:t>
      </w:r>
      <w:r>
        <w:rPr>
          <w:sz w:val="22"/>
          <w:lang/>
        </w:rPr>
        <w:fldChar w:fldCharType="end"/>
      </w:r>
      <w:r>
        <w:rPr>
          <w:sz w:val="22"/>
          <w:lang/>
        </w:rPr>
        <w:fldChar w:fldCharType="end"/>
      </w:r>
    </w:p>
    <w:p>
      <w:pPr>
        <w:pStyle w:val="9"/>
        <w:tabs>
          <w:tab w:val="right" w:leader="dot" w:pos="8303"/>
        </w:tabs>
        <w:jc w:val="distribute"/>
        <w:rPr>
          <w:rFonts w:hint="eastAsia"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"_Toc496105209"</w:instrText>
      </w:r>
      <w:r>
        <w:rPr>
          <w:rStyle w:val="18"/>
          <w:sz w:val="22"/>
          <w:lang/>
        </w:rPr>
        <w:instrText xml:space="preserve"> </w:instrText>
      </w:r>
      <w:r>
        <w:rPr>
          <w:sz w:val="22"/>
          <w:lang/>
        </w:rPr>
        <w:fldChar w:fldCharType="separate"/>
      </w:r>
      <w:r>
        <w:rPr>
          <w:rStyle w:val="18"/>
          <w:rFonts w:hint="eastAsia" w:ascii="宋体" w:hAnsi="宋体" w:cs="宋体"/>
          <w:b/>
          <w:sz w:val="22"/>
          <w:lang/>
        </w:rPr>
        <w:t>第九节</w:t>
      </w:r>
      <w:r>
        <w:rPr>
          <w:rStyle w:val="18"/>
          <w:rFonts w:ascii="宋体" w:hAnsi="宋体" w:cs="宋体"/>
          <w:b/>
          <w:sz w:val="22"/>
          <w:lang/>
        </w:rPr>
        <w:t xml:space="preserve">   </w:t>
      </w:r>
      <w:r>
        <w:rPr>
          <w:rStyle w:val="18"/>
          <w:rFonts w:hint="eastAsia" w:ascii="宋体" w:hAnsi="宋体" w:cs="宋体"/>
          <w:b/>
          <w:sz w:val="22"/>
          <w:lang/>
        </w:rPr>
        <w:t>项目组织机构与工程管理</w:t>
      </w:r>
      <w:r>
        <w:rPr>
          <w:sz w:val="22"/>
          <w:lang/>
        </w:rPr>
        <w:tab/>
      </w:r>
      <w:r>
        <w:rPr>
          <w:sz w:val="22"/>
          <w:lang/>
        </w:rPr>
        <w:fldChar w:fldCharType="begin"/>
      </w:r>
      <w:r>
        <w:rPr>
          <w:sz w:val="22"/>
          <w:lang/>
        </w:rPr>
        <w:instrText xml:space="preserve"> PAGEREF _Toc496105209 \h </w:instrText>
      </w:r>
      <w:r>
        <w:rPr>
          <w:sz w:val="22"/>
          <w:lang/>
        </w:rPr>
        <w:fldChar w:fldCharType="separate"/>
      </w:r>
      <w:r>
        <w:rPr>
          <w:sz w:val="22"/>
          <w:lang/>
        </w:rPr>
        <w:t>28</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"_Toc496105210"</w:instrText>
      </w:r>
      <w:r>
        <w:rPr>
          <w:rStyle w:val="18"/>
          <w:sz w:val="22"/>
          <w:lang/>
        </w:rPr>
        <w:instrText xml:space="preserve"> </w:instrText>
      </w:r>
      <w:r>
        <w:rPr>
          <w:sz w:val="22"/>
          <w:lang/>
        </w:rPr>
        <w:fldChar w:fldCharType="separate"/>
      </w:r>
      <w:r>
        <w:rPr>
          <w:rStyle w:val="18"/>
          <w:rFonts w:hint="eastAsia" w:ascii="宋体" w:hAnsi="宋体" w:cs="宋体"/>
          <w:b/>
          <w:sz w:val="22"/>
          <w:lang/>
        </w:rPr>
        <w:t>一、工程实施组织机构</w:t>
      </w:r>
      <w:r>
        <w:rPr>
          <w:sz w:val="22"/>
          <w:lang/>
        </w:rPr>
        <w:tab/>
      </w:r>
      <w:r>
        <w:rPr>
          <w:sz w:val="22"/>
          <w:lang/>
        </w:rPr>
        <w:fldChar w:fldCharType="begin"/>
      </w:r>
      <w:r>
        <w:rPr>
          <w:sz w:val="22"/>
          <w:lang/>
        </w:rPr>
        <w:instrText xml:space="preserve"> PAGEREF _Toc496105210 \h </w:instrText>
      </w:r>
      <w:r>
        <w:rPr>
          <w:sz w:val="22"/>
          <w:lang/>
        </w:rPr>
        <w:fldChar w:fldCharType="separate"/>
      </w:r>
      <w:r>
        <w:rPr>
          <w:sz w:val="22"/>
          <w:lang/>
        </w:rPr>
        <w:t>28</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"_Toc496105211"</w:instrText>
      </w:r>
      <w:r>
        <w:rPr>
          <w:rStyle w:val="18"/>
          <w:sz w:val="22"/>
          <w:lang/>
        </w:rPr>
        <w:instrText xml:space="preserve"> </w:instrText>
      </w:r>
      <w:r>
        <w:rPr>
          <w:sz w:val="22"/>
          <w:lang/>
        </w:rPr>
        <w:fldChar w:fldCharType="separate"/>
      </w:r>
      <w:r>
        <w:rPr>
          <w:rStyle w:val="18"/>
          <w:rFonts w:hint="eastAsia" w:ascii="宋体" w:hAnsi="宋体" w:cs="宋体"/>
          <w:b/>
          <w:sz w:val="22"/>
          <w:lang/>
        </w:rPr>
        <w:t>二、工程实施管理</w:t>
      </w:r>
      <w:r>
        <w:rPr>
          <w:sz w:val="22"/>
          <w:lang/>
        </w:rPr>
        <w:tab/>
      </w:r>
      <w:r>
        <w:rPr>
          <w:sz w:val="22"/>
          <w:lang/>
        </w:rPr>
        <w:fldChar w:fldCharType="begin"/>
      </w:r>
      <w:r>
        <w:rPr>
          <w:sz w:val="22"/>
          <w:lang/>
        </w:rPr>
        <w:instrText xml:space="preserve"> PAGEREF _Toc496105211 \h </w:instrText>
      </w:r>
      <w:r>
        <w:rPr>
          <w:sz w:val="22"/>
          <w:lang/>
        </w:rPr>
        <w:fldChar w:fldCharType="separate"/>
      </w:r>
      <w:r>
        <w:rPr>
          <w:sz w:val="22"/>
          <w:lang/>
        </w:rPr>
        <w:t>28</w:t>
      </w:r>
      <w:r>
        <w:rPr>
          <w:sz w:val="22"/>
          <w:lang/>
        </w:rPr>
        <w:fldChar w:fldCharType="end"/>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"_Toc496105212"</w:instrText>
      </w:r>
      <w:r>
        <w:rPr>
          <w:rStyle w:val="18"/>
          <w:sz w:val="22"/>
          <w:lang/>
        </w:rPr>
        <w:instrText xml:space="preserve"> </w:instrText>
      </w:r>
      <w:r>
        <w:rPr>
          <w:sz w:val="22"/>
          <w:lang/>
        </w:rPr>
        <w:fldChar w:fldCharType="separate"/>
      </w:r>
      <w:r>
        <w:rPr>
          <w:rStyle w:val="18"/>
          <w:rFonts w:hint="eastAsia" w:ascii="宋体" w:hAnsi="宋体" w:cs="宋体"/>
          <w:b/>
          <w:sz w:val="22"/>
          <w:lang/>
        </w:rPr>
        <w:t>第十节</w:t>
      </w:r>
      <w:r>
        <w:rPr>
          <w:rStyle w:val="18"/>
          <w:rFonts w:ascii="宋体" w:hAnsi="宋体" w:cs="宋体"/>
          <w:b/>
          <w:sz w:val="22"/>
          <w:lang/>
        </w:rPr>
        <w:t xml:space="preserve">   </w:t>
      </w:r>
      <w:r>
        <w:rPr>
          <w:rStyle w:val="18"/>
          <w:rFonts w:hint="eastAsia" w:ascii="宋体" w:hAnsi="宋体" w:cs="宋体"/>
          <w:b/>
          <w:sz w:val="22"/>
          <w:lang/>
        </w:rPr>
        <w:t>项目的实施进度</w:t>
      </w:r>
      <w:r>
        <w:rPr>
          <w:sz w:val="22"/>
          <w:lang/>
        </w:rPr>
        <w:tab/>
      </w:r>
      <w:r>
        <w:rPr>
          <w:sz w:val="22"/>
          <w:lang/>
        </w:rPr>
        <w:fldChar w:fldCharType="begin"/>
      </w:r>
      <w:r>
        <w:rPr>
          <w:sz w:val="22"/>
          <w:lang/>
        </w:rPr>
        <w:instrText xml:space="preserve"> PAGEREF _Toc496105212 \h </w:instrText>
      </w:r>
      <w:r>
        <w:rPr>
          <w:sz w:val="22"/>
          <w:lang/>
        </w:rPr>
        <w:fldChar w:fldCharType="separate"/>
      </w:r>
      <w:r>
        <w:rPr>
          <w:sz w:val="22"/>
          <w:lang/>
        </w:rPr>
        <w:t>29</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"_Toc496105213"</w:instrText>
      </w:r>
      <w:r>
        <w:rPr>
          <w:rStyle w:val="18"/>
          <w:sz w:val="22"/>
          <w:lang/>
        </w:rPr>
        <w:instrText xml:space="preserve"> </w:instrText>
      </w:r>
      <w:r>
        <w:rPr>
          <w:sz w:val="22"/>
          <w:lang/>
        </w:rPr>
        <w:fldChar w:fldCharType="separate"/>
      </w:r>
      <w:r>
        <w:rPr>
          <w:rStyle w:val="18"/>
          <w:rFonts w:hint="eastAsia" w:ascii="宋体" w:hAnsi="宋体" w:cs="宋体"/>
          <w:b/>
          <w:sz w:val="22"/>
          <w:lang/>
        </w:rPr>
        <w:t>一、项目的建设周期</w:t>
      </w:r>
      <w:r>
        <w:rPr>
          <w:sz w:val="22"/>
          <w:lang/>
        </w:rPr>
        <w:tab/>
      </w:r>
      <w:r>
        <w:rPr>
          <w:sz w:val="22"/>
          <w:lang/>
        </w:rPr>
        <w:fldChar w:fldCharType="begin"/>
      </w:r>
      <w:r>
        <w:rPr>
          <w:sz w:val="22"/>
          <w:lang/>
        </w:rPr>
        <w:instrText xml:space="preserve"> PAGEREF _Toc496105213 \h </w:instrText>
      </w:r>
      <w:r>
        <w:rPr>
          <w:sz w:val="22"/>
          <w:lang/>
        </w:rPr>
        <w:fldChar w:fldCharType="separate"/>
      </w:r>
      <w:r>
        <w:rPr>
          <w:sz w:val="22"/>
          <w:lang/>
        </w:rPr>
        <w:t>29</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"_Toc496105214"</w:instrText>
      </w:r>
      <w:r>
        <w:rPr>
          <w:rStyle w:val="18"/>
          <w:sz w:val="22"/>
          <w:lang/>
        </w:rPr>
        <w:instrText xml:space="preserve"> </w:instrText>
      </w:r>
      <w:r>
        <w:rPr>
          <w:sz w:val="22"/>
          <w:lang/>
        </w:rPr>
        <w:fldChar w:fldCharType="separate"/>
      </w:r>
      <w:r>
        <w:rPr>
          <w:rStyle w:val="18"/>
          <w:rFonts w:hint="eastAsia" w:ascii="宋体" w:hAnsi="宋体" w:cs="宋体"/>
          <w:b/>
          <w:sz w:val="22"/>
          <w:lang/>
        </w:rPr>
        <w:t>二、项目的进度计划</w:t>
      </w:r>
      <w:r>
        <w:rPr>
          <w:sz w:val="22"/>
          <w:lang/>
        </w:rPr>
        <w:tab/>
      </w:r>
      <w:r>
        <w:rPr>
          <w:sz w:val="22"/>
          <w:lang/>
        </w:rPr>
        <w:fldChar w:fldCharType="begin"/>
      </w:r>
      <w:r>
        <w:rPr>
          <w:sz w:val="22"/>
          <w:lang/>
        </w:rPr>
        <w:instrText xml:space="preserve"> PAGEREF _Toc496105214 \h </w:instrText>
      </w:r>
      <w:r>
        <w:rPr>
          <w:sz w:val="22"/>
          <w:lang/>
        </w:rPr>
        <w:fldChar w:fldCharType="separate"/>
      </w:r>
      <w:r>
        <w:rPr>
          <w:sz w:val="22"/>
          <w:lang/>
        </w:rPr>
        <w:t>29</w:t>
      </w:r>
      <w:r>
        <w:rPr>
          <w:sz w:val="22"/>
          <w:lang/>
        </w:rPr>
        <w:fldChar w:fldCharType="end"/>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"_Toc496105215"</w:instrText>
      </w:r>
      <w:r>
        <w:rPr>
          <w:rStyle w:val="18"/>
          <w:sz w:val="22"/>
          <w:lang/>
        </w:rPr>
        <w:instrText xml:space="preserve"> </w:instrText>
      </w:r>
      <w:r>
        <w:rPr>
          <w:sz w:val="22"/>
          <w:lang/>
        </w:rPr>
        <w:fldChar w:fldCharType="separate"/>
      </w:r>
      <w:r>
        <w:rPr>
          <w:rStyle w:val="18"/>
          <w:rFonts w:hint="eastAsia" w:ascii="宋体" w:hAnsi="宋体"/>
          <w:b/>
          <w:sz w:val="22"/>
          <w:lang/>
        </w:rPr>
        <w:t>第十一节</w:t>
      </w:r>
      <w:r>
        <w:rPr>
          <w:rStyle w:val="18"/>
          <w:rFonts w:ascii="宋体" w:hAnsi="宋体"/>
          <w:b/>
          <w:sz w:val="22"/>
          <w:lang/>
        </w:rPr>
        <w:t xml:space="preserve">   </w:t>
      </w:r>
      <w:r>
        <w:rPr>
          <w:rStyle w:val="18"/>
          <w:rFonts w:hint="eastAsia" w:ascii="宋体" w:hAnsi="宋体"/>
          <w:b/>
          <w:sz w:val="22"/>
          <w:lang/>
        </w:rPr>
        <w:t>投资估算及资金筹措</w:t>
      </w:r>
      <w:r>
        <w:rPr>
          <w:sz w:val="22"/>
          <w:lang/>
        </w:rPr>
        <w:tab/>
      </w:r>
      <w:r>
        <w:rPr>
          <w:rFonts w:hint="eastAsia"/>
          <w:sz w:val="22"/>
          <w:lang/>
        </w:rPr>
        <w:t>28</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"_Toc496105216"</w:instrText>
      </w:r>
      <w:r>
        <w:rPr>
          <w:rStyle w:val="18"/>
          <w:sz w:val="22"/>
          <w:lang/>
        </w:rPr>
        <w:instrText xml:space="preserve"> </w:instrText>
      </w:r>
      <w:r>
        <w:rPr>
          <w:sz w:val="22"/>
          <w:lang/>
        </w:rPr>
        <w:fldChar w:fldCharType="separate"/>
      </w:r>
      <w:r>
        <w:rPr>
          <w:rStyle w:val="18"/>
          <w:rFonts w:hint="eastAsia" w:ascii="宋体" w:hAnsi="宋体"/>
          <w:b/>
          <w:sz w:val="22"/>
          <w:lang/>
        </w:rPr>
        <w:t>一、投资估算</w:t>
      </w:r>
      <w:r>
        <w:rPr>
          <w:sz w:val="22"/>
          <w:lang/>
        </w:rPr>
        <w:tab/>
      </w:r>
      <w:r>
        <w:rPr>
          <w:rFonts w:hint="eastAsia"/>
          <w:sz w:val="22"/>
          <w:lang/>
        </w:rPr>
        <w:t>28</w:t>
      </w:r>
      <w:r>
        <w:rPr>
          <w:sz w:val="22"/>
          <w:lang/>
        </w:rPr>
        <w:fldChar w:fldCharType="end"/>
      </w:r>
    </w:p>
    <w:p>
      <w:pPr>
        <w:pStyle w:val="10"/>
        <w:tabs>
          <w:tab w:val="right" w:leader="dot" w:pos="8303"/>
        </w:tabs>
        <w:ind w:left="0" w:leftChars="0"/>
        <w:jc w:val="distribute"/>
        <w:rPr>
          <w:rFonts w:hint="eastAsia"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"_Toc496105217"</w:instrText>
      </w:r>
      <w:r>
        <w:rPr>
          <w:rStyle w:val="18"/>
          <w:sz w:val="22"/>
          <w:lang/>
        </w:rPr>
        <w:instrText xml:space="preserve"> </w:instrText>
      </w:r>
      <w:r>
        <w:rPr>
          <w:sz w:val="22"/>
          <w:lang/>
        </w:rPr>
        <w:fldChar w:fldCharType="separate"/>
      </w:r>
      <w:r>
        <w:rPr>
          <w:rStyle w:val="18"/>
          <w:rFonts w:hint="eastAsia" w:ascii="宋体" w:hAnsi="宋体"/>
          <w:b/>
          <w:sz w:val="22"/>
          <w:lang/>
        </w:rPr>
        <w:t>二、建设项目资金筹措</w:t>
      </w:r>
      <w:r>
        <w:rPr>
          <w:sz w:val="22"/>
          <w:lang/>
        </w:rPr>
        <w:tab/>
      </w:r>
      <w:r>
        <w:rPr>
          <w:sz w:val="22"/>
          <w:lang/>
        </w:rPr>
        <w:fldChar w:fldCharType="end"/>
      </w:r>
      <w:r>
        <w:rPr>
          <w:rFonts w:hint="eastAsia"/>
          <w:sz w:val="22"/>
          <w:lang/>
        </w:rPr>
        <w:t>30</w:t>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"_Toc496105218"</w:instrText>
      </w:r>
      <w:r>
        <w:rPr>
          <w:rStyle w:val="18"/>
          <w:sz w:val="22"/>
          <w:lang/>
        </w:rPr>
        <w:instrText xml:space="preserve"> </w:instrText>
      </w:r>
      <w:r>
        <w:rPr>
          <w:sz w:val="22"/>
          <w:lang/>
        </w:rPr>
        <w:fldChar w:fldCharType="separate"/>
      </w:r>
      <w:r>
        <w:rPr>
          <w:rStyle w:val="18"/>
          <w:rFonts w:hint="eastAsia" w:ascii="宋体" w:hAnsi="宋体"/>
          <w:b/>
          <w:sz w:val="22"/>
          <w:lang/>
        </w:rPr>
        <w:t>第十二节</w:t>
      </w:r>
      <w:r>
        <w:rPr>
          <w:rStyle w:val="18"/>
          <w:rFonts w:ascii="宋体" w:hAnsi="宋体"/>
          <w:b/>
          <w:sz w:val="22"/>
          <w:lang/>
        </w:rPr>
        <w:t xml:space="preserve">  </w:t>
      </w:r>
      <w:r>
        <w:rPr>
          <w:rStyle w:val="18"/>
          <w:rFonts w:hint="eastAsia" w:ascii="宋体" w:hAnsi="宋体"/>
          <w:b/>
          <w:sz w:val="22"/>
          <w:lang/>
        </w:rPr>
        <w:t>项目招投标</w:t>
      </w:r>
      <w:r>
        <w:rPr>
          <w:sz w:val="22"/>
          <w:lang/>
        </w:rPr>
        <w:tab/>
      </w:r>
      <w:r>
        <w:rPr>
          <w:rFonts w:hint="eastAsia"/>
          <w:sz w:val="22"/>
          <w:lang/>
        </w:rPr>
        <w:t>31</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"_Toc496105219"</w:instrText>
      </w:r>
      <w:r>
        <w:rPr>
          <w:rStyle w:val="18"/>
          <w:sz w:val="22"/>
          <w:lang/>
        </w:rPr>
        <w:instrText xml:space="preserve"> </w:instrText>
      </w:r>
      <w:r>
        <w:rPr>
          <w:sz w:val="22"/>
          <w:lang/>
        </w:rPr>
        <w:fldChar w:fldCharType="separate"/>
      </w:r>
      <w:r>
        <w:rPr>
          <w:rStyle w:val="18"/>
          <w:rFonts w:hint="eastAsia" w:ascii="宋体" w:hAnsi="宋体"/>
          <w:b/>
          <w:sz w:val="22"/>
          <w:lang/>
        </w:rPr>
        <w:t>一、编制依据</w:t>
      </w:r>
      <w:r>
        <w:rPr>
          <w:sz w:val="22"/>
          <w:lang/>
        </w:rPr>
        <w:tab/>
      </w:r>
      <w:r>
        <w:rPr>
          <w:rFonts w:hint="eastAsia"/>
          <w:sz w:val="22"/>
          <w:lang/>
        </w:rPr>
        <w:t>31</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"_Toc496105220"</w:instrText>
      </w:r>
      <w:r>
        <w:rPr>
          <w:rStyle w:val="18"/>
          <w:sz w:val="22"/>
          <w:lang/>
        </w:rPr>
        <w:instrText xml:space="preserve"> </w:instrText>
      </w:r>
      <w:r>
        <w:rPr>
          <w:sz w:val="22"/>
          <w:lang/>
        </w:rPr>
        <w:fldChar w:fldCharType="separate"/>
      </w:r>
      <w:r>
        <w:rPr>
          <w:rStyle w:val="18"/>
          <w:rFonts w:hint="eastAsia" w:ascii="宋体" w:hAnsi="宋体"/>
          <w:b/>
          <w:sz w:val="22"/>
          <w:lang/>
        </w:rPr>
        <w:t>二、招标范围及内容</w:t>
      </w:r>
      <w:r>
        <w:rPr>
          <w:sz w:val="22"/>
          <w:lang/>
        </w:rPr>
        <w:tab/>
      </w:r>
      <w:r>
        <w:rPr>
          <w:rFonts w:hint="eastAsia"/>
          <w:sz w:val="22"/>
          <w:lang/>
        </w:rPr>
        <w:t>31</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"_Toc496105221"</w:instrText>
      </w:r>
      <w:r>
        <w:rPr>
          <w:rStyle w:val="18"/>
          <w:sz w:val="22"/>
          <w:lang/>
        </w:rPr>
        <w:instrText xml:space="preserve"> </w:instrText>
      </w:r>
      <w:r>
        <w:rPr>
          <w:sz w:val="22"/>
          <w:lang/>
        </w:rPr>
        <w:fldChar w:fldCharType="separate"/>
      </w:r>
      <w:r>
        <w:rPr>
          <w:rStyle w:val="18"/>
          <w:rFonts w:hint="eastAsia" w:ascii="宋体" w:hAnsi="宋体"/>
          <w:b/>
          <w:sz w:val="22"/>
          <w:lang/>
        </w:rPr>
        <w:t>三、招标方式</w:t>
      </w:r>
      <w:r>
        <w:rPr>
          <w:sz w:val="22"/>
          <w:lang/>
        </w:rPr>
        <w:tab/>
      </w:r>
      <w:r>
        <w:rPr>
          <w:rFonts w:hint="eastAsia"/>
          <w:sz w:val="22"/>
          <w:lang/>
        </w:rPr>
        <w:t>31</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"_Toc496105222"</w:instrText>
      </w:r>
      <w:r>
        <w:rPr>
          <w:rStyle w:val="18"/>
          <w:sz w:val="22"/>
          <w:lang/>
        </w:rPr>
        <w:instrText xml:space="preserve"> </w:instrText>
      </w:r>
      <w:r>
        <w:rPr>
          <w:sz w:val="22"/>
          <w:lang/>
        </w:rPr>
        <w:fldChar w:fldCharType="separate"/>
      </w:r>
      <w:r>
        <w:rPr>
          <w:rStyle w:val="18"/>
          <w:rFonts w:hint="eastAsia" w:ascii="宋体" w:hAnsi="宋体"/>
          <w:b/>
          <w:sz w:val="22"/>
          <w:lang/>
        </w:rPr>
        <w:t>四、投标、开标、评标和中标程序</w:t>
      </w:r>
      <w:r>
        <w:rPr>
          <w:sz w:val="22"/>
          <w:lang/>
        </w:rPr>
        <w:tab/>
      </w:r>
      <w:r>
        <w:rPr>
          <w:sz w:val="22"/>
          <w:lang/>
        </w:rPr>
        <w:fldChar w:fldCharType="begin"/>
      </w:r>
      <w:r>
        <w:rPr>
          <w:sz w:val="22"/>
          <w:lang/>
        </w:rPr>
        <w:instrText xml:space="preserve"> PAGEREF _Toc496105222 \h </w:instrText>
      </w:r>
      <w:r>
        <w:rPr>
          <w:sz w:val="22"/>
          <w:lang/>
        </w:rPr>
        <w:fldChar w:fldCharType="separate"/>
      </w:r>
      <w:r>
        <w:rPr>
          <w:sz w:val="22"/>
          <w:lang/>
        </w:rPr>
        <w:t>34</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"_Toc496105223"</w:instrText>
      </w:r>
      <w:r>
        <w:rPr>
          <w:rStyle w:val="18"/>
          <w:sz w:val="22"/>
          <w:lang/>
        </w:rPr>
        <w:instrText xml:space="preserve"> </w:instrText>
      </w:r>
      <w:r>
        <w:rPr>
          <w:sz w:val="22"/>
          <w:lang/>
        </w:rPr>
        <w:fldChar w:fldCharType="separate"/>
      </w:r>
      <w:r>
        <w:rPr>
          <w:rStyle w:val="18"/>
          <w:rFonts w:hint="eastAsia" w:ascii="宋体" w:hAnsi="宋体"/>
          <w:b/>
          <w:sz w:val="22"/>
          <w:lang/>
        </w:rPr>
        <w:t>五、评标组织、评标原则及决标</w:t>
      </w:r>
      <w:r>
        <w:rPr>
          <w:sz w:val="22"/>
          <w:lang/>
        </w:rPr>
        <w:tab/>
      </w:r>
      <w:r>
        <w:rPr>
          <w:sz w:val="22"/>
          <w:lang/>
        </w:rPr>
        <w:fldChar w:fldCharType="begin"/>
      </w:r>
      <w:r>
        <w:rPr>
          <w:sz w:val="22"/>
          <w:lang/>
        </w:rPr>
        <w:instrText xml:space="preserve"> PAGEREF _Toc496105223 \h </w:instrText>
      </w:r>
      <w:r>
        <w:rPr>
          <w:sz w:val="22"/>
          <w:lang/>
        </w:rPr>
        <w:fldChar w:fldCharType="separate"/>
      </w:r>
      <w:r>
        <w:rPr>
          <w:sz w:val="22"/>
          <w:lang/>
        </w:rPr>
        <w:t>34</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"_Toc496105224"</w:instrText>
      </w:r>
      <w:r>
        <w:rPr>
          <w:rStyle w:val="18"/>
          <w:sz w:val="22"/>
          <w:lang/>
        </w:rPr>
        <w:instrText xml:space="preserve"> </w:instrText>
      </w:r>
      <w:r>
        <w:rPr>
          <w:sz w:val="22"/>
          <w:lang/>
        </w:rPr>
        <w:fldChar w:fldCharType="separate"/>
      </w:r>
      <w:r>
        <w:rPr>
          <w:rStyle w:val="18"/>
          <w:rFonts w:hint="eastAsia" w:ascii="宋体" w:hAnsi="宋体"/>
          <w:b/>
          <w:sz w:val="22"/>
          <w:lang/>
        </w:rPr>
        <w:t>六、评标委员会的人员组成和资质要求</w:t>
      </w:r>
      <w:r>
        <w:rPr>
          <w:sz w:val="22"/>
          <w:lang/>
        </w:rPr>
        <w:tab/>
      </w:r>
      <w:r>
        <w:rPr>
          <w:sz w:val="22"/>
          <w:lang/>
        </w:rPr>
        <w:fldChar w:fldCharType="begin"/>
      </w:r>
      <w:r>
        <w:rPr>
          <w:sz w:val="22"/>
          <w:lang/>
        </w:rPr>
        <w:instrText xml:space="preserve"> PAGEREF _Toc496105224 \h </w:instrText>
      </w:r>
      <w:r>
        <w:rPr>
          <w:sz w:val="22"/>
          <w:lang/>
        </w:rPr>
        <w:fldChar w:fldCharType="separate"/>
      </w:r>
      <w:r>
        <w:rPr>
          <w:sz w:val="22"/>
          <w:lang/>
        </w:rPr>
        <w:t>35</w:t>
      </w:r>
      <w:r>
        <w:rPr>
          <w:sz w:val="22"/>
          <w:lang/>
        </w:rPr>
        <w:fldChar w:fldCharType="end"/>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"_Toc496105225"</w:instrText>
      </w:r>
      <w:r>
        <w:rPr>
          <w:rStyle w:val="18"/>
          <w:sz w:val="22"/>
          <w:lang/>
        </w:rPr>
        <w:instrText xml:space="preserve"> </w:instrText>
      </w:r>
      <w:r>
        <w:rPr>
          <w:sz w:val="22"/>
          <w:lang/>
        </w:rPr>
        <w:fldChar w:fldCharType="separate"/>
      </w:r>
      <w:r>
        <w:rPr>
          <w:rStyle w:val="18"/>
          <w:rFonts w:hint="eastAsia" w:ascii="宋体" w:hAnsi="宋体"/>
          <w:b/>
          <w:sz w:val="22"/>
          <w:lang/>
        </w:rPr>
        <w:t>第十三节</w:t>
      </w:r>
      <w:r>
        <w:rPr>
          <w:rStyle w:val="18"/>
          <w:rFonts w:ascii="宋体" w:hAnsi="宋体"/>
          <w:b/>
          <w:sz w:val="22"/>
          <w:lang/>
        </w:rPr>
        <w:t xml:space="preserve">   </w:t>
      </w:r>
      <w:r>
        <w:rPr>
          <w:rStyle w:val="18"/>
          <w:rFonts w:hint="eastAsia" w:ascii="宋体" w:hAnsi="宋体"/>
          <w:b/>
          <w:sz w:val="22"/>
          <w:lang/>
        </w:rPr>
        <w:t>社会评价</w:t>
      </w:r>
      <w:r>
        <w:rPr>
          <w:sz w:val="22"/>
          <w:lang/>
        </w:rPr>
        <w:tab/>
      </w:r>
      <w:r>
        <w:rPr>
          <w:sz w:val="22"/>
          <w:lang/>
        </w:rPr>
        <w:fldChar w:fldCharType="begin"/>
      </w:r>
      <w:r>
        <w:rPr>
          <w:sz w:val="22"/>
          <w:lang/>
        </w:rPr>
        <w:instrText xml:space="preserve"> PAGEREF _Toc496105225 \h </w:instrText>
      </w:r>
      <w:r>
        <w:rPr>
          <w:sz w:val="22"/>
          <w:lang/>
        </w:rPr>
        <w:fldChar w:fldCharType="separate"/>
      </w:r>
      <w:r>
        <w:rPr>
          <w:sz w:val="22"/>
          <w:lang/>
        </w:rPr>
        <w:t>36</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"_Toc496105226"</w:instrText>
      </w:r>
      <w:r>
        <w:rPr>
          <w:rStyle w:val="18"/>
          <w:sz w:val="22"/>
          <w:lang/>
        </w:rPr>
        <w:instrText xml:space="preserve"> </w:instrText>
      </w:r>
      <w:r>
        <w:rPr>
          <w:sz w:val="22"/>
          <w:lang/>
        </w:rPr>
        <w:fldChar w:fldCharType="separate"/>
      </w:r>
      <w:r>
        <w:rPr>
          <w:rStyle w:val="18"/>
          <w:rFonts w:hint="eastAsia" w:ascii="宋体" w:hAnsi="宋体"/>
          <w:b/>
          <w:sz w:val="22"/>
          <w:lang/>
        </w:rPr>
        <w:t>一、社会效益分析</w:t>
      </w:r>
      <w:r>
        <w:rPr>
          <w:sz w:val="22"/>
          <w:lang/>
        </w:rPr>
        <w:tab/>
      </w:r>
      <w:r>
        <w:rPr>
          <w:sz w:val="22"/>
          <w:lang/>
        </w:rPr>
        <w:fldChar w:fldCharType="begin"/>
      </w:r>
      <w:r>
        <w:rPr>
          <w:sz w:val="22"/>
          <w:lang/>
        </w:rPr>
        <w:instrText xml:space="preserve"> PAGEREF _Toc496105226 \h </w:instrText>
      </w:r>
      <w:r>
        <w:rPr>
          <w:sz w:val="22"/>
          <w:lang/>
        </w:rPr>
        <w:fldChar w:fldCharType="separate"/>
      </w:r>
      <w:r>
        <w:rPr>
          <w:sz w:val="22"/>
          <w:lang/>
        </w:rPr>
        <w:t>36</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"_Toc496105227"</w:instrText>
      </w:r>
      <w:r>
        <w:rPr>
          <w:rStyle w:val="18"/>
          <w:sz w:val="22"/>
          <w:lang/>
        </w:rPr>
        <w:instrText xml:space="preserve"> </w:instrText>
      </w:r>
      <w:r>
        <w:rPr>
          <w:sz w:val="22"/>
          <w:lang/>
        </w:rPr>
        <w:fldChar w:fldCharType="separate"/>
      </w:r>
      <w:r>
        <w:rPr>
          <w:rStyle w:val="18"/>
          <w:rFonts w:hint="eastAsia" w:ascii="宋体" w:hAnsi="宋体"/>
          <w:b/>
          <w:sz w:val="22"/>
          <w:lang/>
        </w:rPr>
        <w:t>二、社会互适性分析</w:t>
      </w:r>
      <w:r>
        <w:rPr>
          <w:sz w:val="22"/>
          <w:lang/>
        </w:rPr>
        <w:tab/>
      </w:r>
      <w:r>
        <w:rPr>
          <w:sz w:val="22"/>
          <w:lang/>
        </w:rPr>
        <w:fldChar w:fldCharType="begin"/>
      </w:r>
      <w:r>
        <w:rPr>
          <w:sz w:val="22"/>
          <w:lang/>
        </w:rPr>
        <w:instrText xml:space="preserve"> PAGEREF _Toc496105227 \h </w:instrText>
      </w:r>
      <w:r>
        <w:rPr>
          <w:sz w:val="22"/>
          <w:lang/>
        </w:rPr>
        <w:fldChar w:fldCharType="separate"/>
      </w:r>
      <w:r>
        <w:rPr>
          <w:sz w:val="22"/>
          <w:lang/>
        </w:rPr>
        <w:t>37</w:t>
      </w:r>
      <w:r>
        <w:rPr>
          <w:sz w:val="22"/>
          <w:lang/>
        </w:rPr>
        <w:fldChar w:fldCharType="end"/>
      </w:r>
      <w:r>
        <w:rPr>
          <w:sz w:val="22"/>
          <w:lang/>
        </w:rPr>
        <w:fldChar w:fldCharType="end"/>
      </w:r>
    </w:p>
    <w:p>
      <w:pPr>
        <w:pStyle w:val="10"/>
        <w:tabs>
          <w:tab w:val="right" w:leader="dot" w:pos="8303"/>
        </w:tabs>
        <w:ind w:left="0" w:leftChars="0"/>
        <w:jc w:val="distribute"/>
        <w:rPr>
          <w:rFonts w:hint="eastAsia"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"_Toc496105228"</w:instrText>
      </w:r>
      <w:r>
        <w:rPr>
          <w:rStyle w:val="18"/>
          <w:sz w:val="22"/>
          <w:lang/>
        </w:rPr>
        <w:instrText xml:space="preserve"> </w:instrText>
      </w:r>
      <w:r>
        <w:rPr>
          <w:sz w:val="22"/>
          <w:lang/>
        </w:rPr>
        <w:fldChar w:fldCharType="separate"/>
      </w:r>
      <w:r>
        <w:rPr>
          <w:rStyle w:val="18"/>
          <w:rFonts w:hint="eastAsia" w:ascii="宋体" w:hAnsi="宋体"/>
          <w:b/>
          <w:sz w:val="22"/>
          <w:lang/>
        </w:rPr>
        <w:t>三、不同利益群体与项目</w:t>
      </w:r>
      <w:r>
        <w:rPr>
          <w:sz w:val="22"/>
          <w:lang/>
        </w:rPr>
        <w:tab/>
      </w:r>
      <w:r>
        <w:rPr>
          <w:sz w:val="22"/>
          <w:lang/>
        </w:rPr>
        <w:fldChar w:fldCharType="begin"/>
      </w:r>
      <w:r>
        <w:rPr>
          <w:sz w:val="22"/>
          <w:lang/>
        </w:rPr>
        <w:instrText xml:space="preserve"> PAGEREF _Toc496105228 \h </w:instrText>
      </w:r>
      <w:r>
        <w:rPr>
          <w:sz w:val="22"/>
          <w:lang/>
        </w:rPr>
        <w:fldChar w:fldCharType="separate"/>
      </w:r>
      <w:r>
        <w:rPr>
          <w:sz w:val="22"/>
          <w:lang/>
        </w:rPr>
        <w:t>37</w:t>
      </w:r>
      <w:r>
        <w:rPr>
          <w:sz w:val="22"/>
          <w:lang/>
        </w:rPr>
        <w:fldChar w:fldCharType="end"/>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"_Toc496105229"</w:instrText>
      </w:r>
      <w:r>
        <w:rPr>
          <w:rStyle w:val="18"/>
          <w:sz w:val="22"/>
          <w:lang/>
        </w:rPr>
        <w:instrText xml:space="preserve"> </w:instrText>
      </w:r>
      <w:r>
        <w:rPr>
          <w:sz w:val="22"/>
          <w:lang/>
        </w:rPr>
        <w:fldChar w:fldCharType="separate"/>
      </w:r>
      <w:r>
        <w:rPr>
          <w:rStyle w:val="18"/>
          <w:rFonts w:hint="eastAsia" w:ascii="宋体" w:hAnsi="宋体"/>
          <w:b/>
          <w:sz w:val="22"/>
          <w:lang/>
        </w:rPr>
        <w:t>四、社会评价结论</w:t>
      </w:r>
      <w:r>
        <w:rPr>
          <w:sz w:val="22"/>
          <w:lang/>
        </w:rPr>
        <w:tab/>
      </w:r>
      <w:r>
        <w:rPr>
          <w:sz w:val="22"/>
          <w:lang/>
        </w:rPr>
        <w:fldChar w:fldCharType="begin"/>
      </w:r>
      <w:r>
        <w:rPr>
          <w:sz w:val="22"/>
          <w:lang/>
        </w:rPr>
        <w:instrText xml:space="preserve"> PAGEREF _Toc496105229 \h </w:instrText>
      </w:r>
      <w:r>
        <w:rPr>
          <w:sz w:val="22"/>
          <w:lang/>
        </w:rPr>
        <w:fldChar w:fldCharType="separate"/>
      </w:r>
      <w:r>
        <w:rPr>
          <w:sz w:val="22"/>
          <w:lang/>
        </w:rPr>
        <w:t>37</w:t>
      </w:r>
      <w:r>
        <w:rPr>
          <w:sz w:val="22"/>
          <w:lang/>
        </w:rPr>
        <w:fldChar w:fldCharType="end"/>
      </w:r>
      <w:r>
        <w:rPr>
          <w:sz w:val="22"/>
          <w:lang/>
        </w:rPr>
        <w:fldChar w:fldCharType="end"/>
      </w:r>
    </w:p>
    <w:p>
      <w:pPr>
        <w:pStyle w:val="9"/>
        <w:tabs>
          <w:tab w:val="right" w:leader="dot" w:pos="8303"/>
        </w:tabs>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"_Toc496105230"</w:instrText>
      </w:r>
      <w:r>
        <w:rPr>
          <w:rStyle w:val="18"/>
          <w:sz w:val="22"/>
          <w:lang/>
        </w:rPr>
        <w:instrText xml:space="preserve"> </w:instrText>
      </w:r>
      <w:r>
        <w:rPr>
          <w:sz w:val="22"/>
          <w:lang/>
        </w:rPr>
        <w:fldChar w:fldCharType="separate"/>
      </w:r>
      <w:r>
        <w:rPr>
          <w:rStyle w:val="18"/>
          <w:rFonts w:hint="eastAsia" w:ascii="宋体" w:hAnsi="宋体"/>
          <w:b/>
          <w:sz w:val="22"/>
          <w:lang/>
        </w:rPr>
        <w:t>第十四节</w:t>
      </w:r>
      <w:r>
        <w:rPr>
          <w:rStyle w:val="18"/>
          <w:rFonts w:ascii="宋体" w:hAnsi="宋体"/>
          <w:b/>
          <w:sz w:val="22"/>
          <w:lang/>
        </w:rPr>
        <w:t xml:space="preserve">   </w:t>
      </w:r>
      <w:r>
        <w:rPr>
          <w:rStyle w:val="18"/>
          <w:rFonts w:hint="eastAsia" w:ascii="宋体" w:hAnsi="宋体"/>
          <w:b/>
          <w:sz w:val="22"/>
          <w:lang/>
        </w:rPr>
        <w:t>结论与建议</w:t>
      </w:r>
      <w:r>
        <w:rPr>
          <w:sz w:val="22"/>
          <w:lang/>
        </w:rPr>
        <w:tab/>
      </w:r>
      <w:r>
        <w:rPr>
          <w:rFonts w:hint="eastAsia"/>
          <w:sz w:val="22"/>
          <w:lang/>
        </w:rPr>
        <w:t>38</w:t>
      </w:r>
      <w:r>
        <w:rPr>
          <w:sz w:val="22"/>
          <w:lang/>
        </w:rPr>
        <w:fldChar w:fldCharType="end"/>
      </w:r>
    </w:p>
    <w:p>
      <w:pPr>
        <w:pStyle w:val="10"/>
        <w:tabs>
          <w:tab w:val="right" w:leader="dot" w:pos="8303"/>
        </w:tabs>
        <w:ind w:left="0" w:leftChars="0"/>
        <w:jc w:val="distribute"/>
        <w:rPr>
          <w:rFonts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"_Toc496105231"</w:instrText>
      </w:r>
      <w:r>
        <w:rPr>
          <w:rStyle w:val="18"/>
          <w:sz w:val="22"/>
          <w:lang/>
        </w:rPr>
        <w:instrText xml:space="preserve"> </w:instrText>
      </w:r>
      <w:r>
        <w:rPr>
          <w:sz w:val="22"/>
          <w:lang/>
        </w:rPr>
        <w:fldChar w:fldCharType="separate"/>
      </w:r>
      <w:r>
        <w:rPr>
          <w:rStyle w:val="18"/>
          <w:rFonts w:hint="eastAsia" w:ascii="宋体" w:hAnsi="宋体"/>
          <w:b/>
          <w:sz w:val="22"/>
          <w:lang/>
        </w:rPr>
        <w:t>一、结论</w:t>
      </w:r>
      <w:r>
        <w:rPr>
          <w:sz w:val="22"/>
          <w:lang/>
        </w:rPr>
        <w:tab/>
      </w:r>
      <w:r>
        <w:rPr>
          <w:rFonts w:hint="eastAsia"/>
          <w:sz w:val="22"/>
          <w:lang/>
        </w:rPr>
        <w:t>38</w:t>
      </w:r>
      <w:r>
        <w:rPr>
          <w:sz w:val="22"/>
          <w:lang/>
        </w:rPr>
        <w:fldChar w:fldCharType="end"/>
      </w:r>
    </w:p>
    <w:p>
      <w:pPr>
        <w:pStyle w:val="10"/>
        <w:tabs>
          <w:tab w:val="right" w:leader="dot" w:pos="8303"/>
        </w:tabs>
        <w:ind w:left="0" w:leftChars="0"/>
        <w:jc w:val="distribute"/>
        <w:rPr>
          <w:rFonts w:hint="eastAsia" w:ascii="Calibri" w:hAnsi="Calibri"/>
          <w:sz w:val="22"/>
          <w:szCs w:val="22"/>
          <w:lang/>
        </w:rPr>
      </w:pPr>
      <w:r>
        <w:rPr>
          <w:sz w:val="22"/>
          <w:lang/>
        </w:rPr>
        <w:fldChar w:fldCharType="begin"/>
      </w:r>
      <w:r>
        <w:rPr>
          <w:rStyle w:val="18"/>
          <w:sz w:val="22"/>
          <w:lang/>
        </w:rPr>
        <w:instrText xml:space="preserve"> </w:instrText>
      </w:r>
      <w:r>
        <w:rPr>
          <w:sz w:val="22"/>
          <w:lang/>
        </w:rPr>
        <w:instrText xml:space="preserve">HYPERLINK \l "_Toc496105232"</w:instrText>
      </w:r>
      <w:r>
        <w:rPr>
          <w:rStyle w:val="18"/>
          <w:sz w:val="22"/>
          <w:lang/>
        </w:rPr>
        <w:instrText xml:space="preserve"> </w:instrText>
      </w:r>
      <w:r>
        <w:rPr>
          <w:sz w:val="22"/>
          <w:lang/>
        </w:rPr>
        <w:fldChar w:fldCharType="separate"/>
      </w:r>
      <w:r>
        <w:rPr>
          <w:rStyle w:val="18"/>
          <w:rFonts w:hint="eastAsia" w:ascii="宋体" w:hAnsi="宋体"/>
          <w:sz w:val="22"/>
          <w:lang/>
        </w:rPr>
        <w:t>二、</w:t>
      </w:r>
      <w:r>
        <w:rPr>
          <w:rStyle w:val="18"/>
          <w:rFonts w:hint="eastAsia" w:ascii="宋体" w:hAnsi="宋体"/>
          <w:b/>
          <w:sz w:val="22"/>
          <w:lang/>
        </w:rPr>
        <w:t>建议</w:t>
      </w:r>
      <w:r>
        <w:rPr>
          <w:sz w:val="22"/>
          <w:lang/>
        </w:rPr>
        <w:tab/>
      </w:r>
      <w:r>
        <w:rPr>
          <w:rFonts w:hint="eastAsia"/>
          <w:sz w:val="22"/>
          <w:lang/>
        </w:rPr>
        <w:t>38</w:t>
      </w:r>
      <w:r>
        <w:rPr>
          <w:sz w:val="22"/>
          <w:lang/>
        </w:rPr>
        <w:fldChar w:fldCharType="end"/>
      </w:r>
      <w:r>
        <w:rPr>
          <w:rFonts w:hint="eastAsia"/>
          <w:sz w:val="22"/>
          <w:lang/>
        </w:rPr>
        <w:t>~39</w:t>
      </w:r>
    </w:p>
    <w:p>
      <w:pPr>
        <w:spacing w:line="360" w:lineRule="auto"/>
        <w:jc w:val="center"/>
        <w:rPr>
          <w:rFonts w:hint="eastAsia" w:ascii="宋体" w:hAnsi="宋体"/>
          <w:b/>
          <w:sz w:val="52"/>
          <w:szCs w:val="52"/>
        </w:rPr>
      </w:pPr>
      <w:r>
        <w:rPr>
          <w:rFonts w:ascii="宋体" w:hAnsi="宋体"/>
          <w:b/>
          <w:sz w:val="36"/>
          <w:szCs w:val="36"/>
        </w:rPr>
        <w:fldChar w:fldCharType="end"/>
      </w:r>
      <w:r>
        <w:rPr>
          <w:rFonts w:ascii="宋体" w:hAnsi="宋体"/>
          <w:b/>
          <w:sz w:val="30"/>
          <w:szCs w:val="30"/>
        </w:rPr>
        <w:br w:type="column"/>
      </w:r>
      <w:bookmarkStart w:id="0" w:name="_Toc496105187"/>
      <w:r>
        <w:rPr>
          <w:rFonts w:hint="eastAsia" w:ascii="宋体" w:hAnsi="宋体"/>
          <w:b/>
          <w:sz w:val="52"/>
          <w:szCs w:val="52"/>
        </w:rPr>
        <w:t>第一节   总   论</w:t>
      </w:r>
      <w:bookmarkEnd w:id="0"/>
    </w:p>
    <w:p>
      <w:pPr>
        <w:spacing w:line="360" w:lineRule="auto"/>
        <w:ind w:firstLine="562" w:firstLineChars="200"/>
        <w:outlineLvl w:val="1"/>
        <w:rPr>
          <w:rFonts w:hint="eastAsia" w:ascii="宋体" w:hAnsi="宋体"/>
          <w:b/>
          <w:sz w:val="28"/>
          <w:szCs w:val="28"/>
        </w:rPr>
      </w:pPr>
      <w:bookmarkStart w:id="1" w:name="_Toc496105188"/>
      <w:r>
        <w:rPr>
          <w:rFonts w:hint="eastAsia" w:ascii="宋体" w:hAnsi="宋体"/>
          <w:b/>
          <w:sz w:val="28"/>
          <w:szCs w:val="28"/>
        </w:rPr>
        <w:t>一、建设项目概况</w:t>
      </w:r>
      <w:bookmarkEnd w:id="1"/>
    </w:p>
    <w:p>
      <w:pPr>
        <w:spacing w:line="360" w:lineRule="auto"/>
        <w:ind w:firstLine="560" w:firstLineChars="200"/>
        <w:rPr>
          <w:rFonts w:hint="eastAsia" w:ascii="宋体" w:hAnsi="宋体"/>
          <w:sz w:val="28"/>
          <w:szCs w:val="28"/>
        </w:rPr>
      </w:pPr>
      <w:r>
        <w:rPr>
          <w:rFonts w:hint="eastAsia" w:ascii="宋体" w:hAnsi="宋体"/>
          <w:sz w:val="28"/>
          <w:szCs w:val="28"/>
        </w:rPr>
        <w:t>1、项目名称：赤城街道栖霞小学迁建工程</w:t>
      </w:r>
    </w:p>
    <w:p>
      <w:pPr>
        <w:spacing w:line="360" w:lineRule="auto"/>
        <w:ind w:firstLine="560" w:firstLineChars="200"/>
        <w:rPr>
          <w:rFonts w:hint="eastAsia" w:ascii="宋体" w:hAnsi="宋体"/>
          <w:sz w:val="28"/>
          <w:szCs w:val="28"/>
        </w:rPr>
      </w:pPr>
      <w:r>
        <w:rPr>
          <w:rFonts w:hint="eastAsia" w:ascii="宋体" w:hAnsi="宋体"/>
          <w:sz w:val="28"/>
          <w:szCs w:val="28"/>
        </w:rPr>
        <w:t>2、建设单位：天台小学</w:t>
      </w:r>
    </w:p>
    <w:p>
      <w:pPr>
        <w:spacing w:line="360" w:lineRule="auto"/>
        <w:ind w:firstLine="560" w:firstLineChars="200"/>
        <w:rPr>
          <w:rFonts w:hint="eastAsia" w:ascii="宋体" w:hAnsi="宋体"/>
          <w:sz w:val="28"/>
          <w:szCs w:val="28"/>
        </w:rPr>
      </w:pPr>
      <w:r>
        <w:rPr>
          <w:rFonts w:hint="eastAsia" w:ascii="宋体" w:hAnsi="宋体"/>
          <w:sz w:val="28"/>
          <w:szCs w:val="28"/>
        </w:rPr>
        <w:t>3、建设地点：天台县赤城街道栖霞桥下村112号（栖霞中学）</w:t>
      </w:r>
    </w:p>
    <w:p>
      <w:pPr>
        <w:spacing w:line="360" w:lineRule="auto"/>
        <w:ind w:firstLine="560" w:firstLineChars="200"/>
        <w:rPr>
          <w:rFonts w:hint="eastAsia" w:ascii="宋体" w:hAnsi="宋体"/>
          <w:sz w:val="28"/>
          <w:szCs w:val="28"/>
        </w:rPr>
      </w:pPr>
      <w:r>
        <w:rPr>
          <w:rFonts w:hint="eastAsia" w:ascii="宋体" w:hAnsi="宋体"/>
          <w:sz w:val="28"/>
          <w:szCs w:val="28"/>
        </w:rPr>
        <w:t xml:space="preserve">4、建设期限：32个月 </w:t>
      </w:r>
    </w:p>
    <w:p>
      <w:pPr>
        <w:spacing w:line="360" w:lineRule="auto"/>
        <w:ind w:firstLine="560" w:firstLineChars="200"/>
        <w:rPr>
          <w:rFonts w:hint="eastAsia" w:ascii="宋体" w:hAnsi="宋体"/>
          <w:sz w:val="28"/>
          <w:szCs w:val="28"/>
        </w:rPr>
      </w:pPr>
      <w:r>
        <w:rPr>
          <w:rFonts w:hint="eastAsia" w:ascii="宋体" w:hAnsi="宋体"/>
          <w:sz w:val="28"/>
          <w:szCs w:val="28"/>
        </w:rPr>
        <w:t>5、投资估算：5553万元，其中建安费为4357万元，设备购置费310万元，校园文化50万元，征地及报批费用350万元，工程建设其他费为377万元，预备费109万元。</w:t>
      </w:r>
    </w:p>
    <w:p>
      <w:pPr>
        <w:spacing w:line="360" w:lineRule="auto"/>
        <w:ind w:firstLine="560" w:firstLineChars="200"/>
        <w:rPr>
          <w:rFonts w:hint="eastAsia" w:ascii="宋体" w:hAnsi="宋体"/>
          <w:sz w:val="28"/>
          <w:szCs w:val="28"/>
        </w:rPr>
      </w:pPr>
      <w:r>
        <w:rPr>
          <w:rFonts w:hint="eastAsia" w:ascii="宋体" w:hAnsi="宋体"/>
          <w:sz w:val="28"/>
          <w:szCs w:val="28"/>
        </w:rPr>
        <w:t>6、范围：本次建议书范围为赤城街道栖霞小学迁建工程，包括建安工程费、设备购置费、征地及报批费、工程建设其他费、预备费等。</w:t>
      </w:r>
    </w:p>
    <w:p>
      <w:pPr>
        <w:spacing w:line="360" w:lineRule="auto"/>
        <w:ind w:firstLine="560" w:firstLineChars="200"/>
        <w:rPr>
          <w:rFonts w:hint="eastAsia" w:ascii="宋体" w:hAnsi="宋体"/>
          <w:sz w:val="28"/>
          <w:szCs w:val="28"/>
        </w:rPr>
      </w:pPr>
      <w:r>
        <w:rPr>
          <w:rFonts w:hint="eastAsia" w:ascii="宋体" w:hAnsi="宋体"/>
          <w:sz w:val="28"/>
          <w:szCs w:val="28"/>
        </w:rPr>
        <w:t>7、建设内容及建设规模：</w:t>
      </w:r>
    </w:p>
    <w:p>
      <w:pPr>
        <w:spacing w:line="360" w:lineRule="auto"/>
        <w:ind w:firstLine="560" w:firstLineChars="200"/>
        <w:rPr>
          <w:rFonts w:hint="eastAsia" w:ascii="宋体" w:hAnsi="宋体"/>
          <w:sz w:val="28"/>
          <w:szCs w:val="28"/>
        </w:rPr>
      </w:pPr>
      <w:r>
        <w:rPr>
          <w:rFonts w:hint="eastAsia" w:ascii="宋体" w:hAnsi="宋体"/>
          <w:sz w:val="28"/>
          <w:szCs w:val="28"/>
        </w:rPr>
        <w:t>建设规模及内容：按办学规模24个班、每班45人，共1080人考虑。规划用地按照浙江省工程建设标准《九年制义务教育普通学校建设标准》完全小学Ⅲ类标准，结合建设地点周边实际情况并经相关部门和单位研究确定总用地面积为19001㎡计28.5亩。具体情况为原栖霞中学占地面积9686.47㎡计14.53亩；原栖霞中学东侧新征用地8939㎡计13.41亩，原栖霞中学西南侧学校大门至天桐路新征用地375㎡计0.56亩用于校外疏散缓冲场地，满足九年制义务教育普通学校建设标准Ⅲ类用地标准（18716. 4㎡计28.1亩）。</w:t>
      </w:r>
    </w:p>
    <w:p>
      <w:pPr>
        <w:spacing w:line="360" w:lineRule="auto"/>
        <w:ind w:firstLine="560" w:firstLineChars="200"/>
        <w:rPr>
          <w:rFonts w:hint="eastAsia" w:ascii="宋体" w:hAnsi="宋体"/>
          <w:sz w:val="28"/>
          <w:szCs w:val="28"/>
        </w:rPr>
      </w:pPr>
      <w:r>
        <w:rPr>
          <w:rFonts w:hint="eastAsia" w:ascii="宋体" w:hAnsi="宋体"/>
          <w:sz w:val="28"/>
          <w:szCs w:val="28"/>
        </w:rPr>
        <w:t>建设规模建议按照24个班Ⅱ类标准执行，设连廊，考虑用地按照Ⅲ类标准并结合《九年制义务教育普通学校建设标准》正处于修订阶段，相比原标准建设用地与建设规模有较大幅度提高，建议机动车与非机动车停车位设置于架空层。综合上述因素，建议地上建筑面积11100㎡，架空层建筑面积2000㎡，总建筑面积13100㎡，容积率0.7，建筑密度17.7%，绿地率35%。</w:t>
      </w:r>
    </w:p>
    <w:p>
      <w:pPr>
        <w:spacing w:line="360" w:lineRule="auto"/>
        <w:ind w:firstLine="562" w:firstLineChars="200"/>
        <w:outlineLvl w:val="1"/>
        <w:rPr>
          <w:rFonts w:hint="eastAsia" w:ascii="宋体" w:hAnsi="宋体"/>
          <w:b/>
          <w:sz w:val="28"/>
          <w:szCs w:val="28"/>
        </w:rPr>
      </w:pPr>
      <w:bookmarkStart w:id="2" w:name="_Toc496105189"/>
      <w:r>
        <w:rPr>
          <w:rFonts w:hint="eastAsia" w:ascii="宋体" w:hAnsi="宋体"/>
          <w:b/>
          <w:sz w:val="28"/>
          <w:szCs w:val="28"/>
        </w:rPr>
        <w:t>二、项目建议书编制依据</w:t>
      </w:r>
      <w:bookmarkEnd w:id="2"/>
    </w:p>
    <w:p>
      <w:pPr>
        <w:spacing w:line="360" w:lineRule="auto"/>
        <w:ind w:firstLine="560" w:firstLineChars="200"/>
        <w:rPr>
          <w:rFonts w:hint="eastAsia" w:ascii="宋体" w:hAnsi="宋体"/>
          <w:sz w:val="28"/>
          <w:szCs w:val="28"/>
        </w:rPr>
      </w:pPr>
      <w:r>
        <w:rPr>
          <w:rFonts w:hint="eastAsia" w:ascii="宋体" w:hAnsi="宋体"/>
          <w:sz w:val="28"/>
          <w:szCs w:val="28"/>
        </w:rPr>
        <w:t>1、浙</w:t>
      </w:r>
      <w:r>
        <w:rPr>
          <w:rFonts w:ascii="宋体" w:hAnsi="宋体"/>
          <w:sz w:val="28"/>
          <w:szCs w:val="28"/>
        </w:rPr>
        <w:t>江省工程建设标准《</w:t>
      </w:r>
      <w:r>
        <w:rPr>
          <w:rFonts w:hint="eastAsia" w:ascii="宋体" w:hAnsi="宋体"/>
          <w:sz w:val="28"/>
          <w:szCs w:val="28"/>
        </w:rPr>
        <w:t>中小学校建筑设计规范</w:t>
      </w:r>
      <w:r>
        <w:rPr>
          <w:rFonts w:ascii="宋体" w:hAnsi="宋体"/>
          <w:sz w:val="28"/>
          <w:szCs w:val="28"/>
        </w:rPr>
        <w:t>》</w:t>
      </w:r>
      <w:r>
        <w:rPr>
          <w:rFonts w:hint="eastAsia" w:ascii="宋体" w:hAnsi="宋体"/>
          <w:sz w:val="28"/>
          <w:szCs w:val="28"/>
        </w:rPr>
        <w:t>(GB50099-2011)</w:t>
      </w:r>
    </w:p>
    <w:p>
      <w:pPr>
        <w:spacing w:line="360" w:lineRule="auto"/>
        <w:ind w:firstLine="560" w:firstLineChars="200"/>
        <w:rPr>
          <w:rFonts w:hint="eastAsia" w:ascii="宋体" w:hAnsi="宋体"/>
          <w:sz w:val="28"/>
          <w:szCs w:val="28"/>
        </w:rPr>
      </w:pPr>
      <w:r>
        <w:rPr>
          <w:rFonts w:hint="eastAsia" w:ascii="宋体" w:hAnsi="宋体"/>
          <w:sz w:val="28"/>
          <w:szCs w:val="28"/>
        </w:rPr>
        <w:t>2、《九年制义务教育普通学校建设标准》(DB33/1018-2005)</w:t>
      </w:r>
    </w:p>
    <w:p>
      <w:pPr>
        <w:spacing w:line="360" w:lineRule="auto"/>
        <w:ind w:firstLine="560" w:firstLineChars="200"/>
        <w:rPr>
          <w:rFonts w:hint="eastAsia" w:ascii="宋体" w:hAnsi="宋体"/>
          <w:sz w:val="28"/>
          <w:szCs w:val="28"/>
        </w:rPr>
      </w:pPr>
      <w:r>
        <w:rPr>
          <w:rFonts w:hint="eastAsia" w:ascii="宋体" w:hAnsi="宋体"/>
          <w:sz w:val="28"/>
          <w:szCs w:val="28"/>
        </w:rPr>
        <w:t>3、《建设项目经济评价方法与参数》（第三版）</w:t>
      </w:r>
    </w:p>
    <w:p>
      <w:pPr>
        <w:spacing w:line="360" w:lineRule="auto"/>
        <w:ind w:firstLine="562" w:firstLineChars="200"/>
        <w:outlineLvl w:val="1"/>
        <w:rPr>
          <w:rFonts w:hint="eastAsia" w:ascii="宋体" w:hAnsi="宋体"/>
          <w:b/>
          <w:sz w:val="28"/>
          <w:szCs w:val="28"/>
        </w:rPr>
      </w:pPr>
      <w:bookmarkStart w:id="3" w:name="_Toc496105190"/>
      <w:r>
        <w:rPr>
          <w:rFonts w:hint="eastAsia" w:ascii="宋体" w:hAnsi="宋体"/>
          <w:b/>
          <w:sz w:val="28"/>
          <w:szCs w:val="28"/>
        </w:rPr>
        <w:t>三、项目建议书研究范围</w:t>
      </w:r>
      <w:bookmarkEnd w:id="3"/>
    </w:p>
    <w:p>
      <w:pPr>
        <w:spacing w:line="360" w:lineRule="auto"/>
        <w:ind w:firstLine="560" w:firstLineChars="200"/>
        <w:rPr>
          <w:rFonts w:hint="eastAsia" w:ascii="宋体" w:hAnsi="宋体"/>
          <w:sz w:val="28"/>
          <w:szCs w:val="28"/>
        </w:rPr>
      </w:pPr>
      <w:r>
        <w:rPr>
          <w:rFonts w:hint="eastAsia" w:ascii="宋体" w:hAnsi="宋体"/>
          <w:sz w:val="28"/>
          <w:szCs w:val="28"/>
        </w:rPr>
        <w:t>本报告主要对以下内容进行分析论证：</w:t>
      </w:r>
    </w:p>
    <w:p>
      <w:pPr>
        <w:spacing w:line="360" w:lineRule="auto"/>
        <w:ind w:firstLine="560" w:firstLineChars="200"/>
        <w:rPr>
          <w:rFonts w:hint="eastAsia" w:ascii="宋体" w:hAnsi="宋体"/>
          <w:sz w:val="28"/>
          <w:szCs w:val="28"/>
        </w:rPr>
      </w:pPr>
      <w:r>
        <w:rPr>
          <w:rFonts w:hint="eastAsia" w:ascii="宋体" w:hAnsi="宋体"/>
          <w:sz w:val="28"/>
          <w:szCs w:val="28"/>
        </w:rPr>
        <w:t>1、项目建设背景及必要性</w:t>
      </w:r>
    </w:p>
    <w:p>
      <w:pPr>
        <w:spacing w:line="360" w:lineRule="auto"/>
        <w:ind w:firstLine="560" w:firstLineChars="200"/>
        <w:rPr>
          <w:rFonts w:hint="eastAsia" w:ascii="宋体" w:hAnsi="宋体"/>
          <w:sz w:val="28"/>
          <w:szCs w:val="28"/>
        </w:rPr>
      </w:pPr>
      <w:r>
        <w:rPr>
          <w:rFonts w:hint="eastAsia" w:ascii="宋体" w:hAnsi="宋体"/>
          <w:sz w:val="28"/>
          <w:szCs w:val="28"/>
        </w:rPr>
        <w:t>2、项目选址与建设条件</w:t>
      </w:r>
    </w:p>
    <w:p>
      <w:pPr>
        <w:spacing w:line="360" w:lineRule="auto"/>
        <w:ind w:firstLine="560" w:firstLineChars="200"/>
        <w:rPr>
          <w:rFonts w:hint="eastAsia" w:ascii="宋体" w:hAnsi="宋体"/>
          <w:sz w:val="28"/>
          <w:szCs w:val="28"/>
        </w:rPr>
      </w:pPr>
      <w:r>
        <w:rPr>
          <w:rFonts w:hint="eastAsia" w:ascii="宋体" w:hAnsi="宋体"/>
          <w:sz w:val="28"/>
          <w:szCs w:val="28"/>
        </w:rPr>
        <w:t>3、项目工程建设技术方案</w:t>
      </w:r>
    </w:p>
    <w:p>
      <w:pPr>
        <w:spacing w:line="360" w:lineRule="auto"/>
        <w:ind w:firstLine="560" w:firstLineChars="200"/>
        <w:rPr>
          <w:rFonts w:hint="eastAsia" w:ascii="宋体" w:hAnsi="宋体"/>
          <w:sz w:val="28"/>
          <w:szCs w:val="28"/>
        </w:rPr>
      </w:pPr>
      <w:r>
        <w:rPr>
          <w:rFonts w:hint="eastAsia" w:ascii="宋体" w:hAnsi="宋体"/>
          <w:sz w:val="28"/>
          <w:szCs w:val="28"/>
        </w:rPr>
        <w:t>4、项目组织机构与实施进度分析</w:t>
      </w:r>
    </w:p>
    <w:p>
      <w:pPr>
        <w:spacing w:line="360" w:lineRule="auto"/>
        <w:ind w:firstLine="560" w:firstLineChars="200"/>
        <w:rPr>
          <w:rFonts w:hint="eastAsia" w:ascii="宋体" w:hAnsi="宋体"/>
          <w:sz w:val="28"/>
          <w:szCs w:val="28"/>
        </w:rPr>
      </w:pPr>
      <w:r>
        <w:rPr>
          <w:rFonts w:hint="eastAsia" w:ascii="宋体" w:hAnsi="宋体"/>
          <w:sz w:val="28"/>
          <w:szCs w:val="28"/>
        </w:rPr>
        <w:t>5、项目投资估算及资金筹措</w:t>
      </w:r>
    </w:p>
    <w:p>
      <w:pPr>
        <w:spacing w:line="360" w:lineRule="auto"/>
        <w:ind w:firstLine="560" w:firstLineChars="200"/>
        <w:rPr>
          <w:rFonts w:hint="eastAsia" w:ascii="宋体" w:hAnsi="宋体"/>
          <w:sz w:val="28"/>
          <w:szCs w:val="28"/>
        </w:rPr>
      </w:pPr>
      <w:r>
        <w:rPr>
          <w:rFonts w:hint="eastAsia" w:ascii="宋体" w:hAnsi="宋体"/>
          <w:sz w:val="28"/>
          <w:szCs w:val="28"/>
        </w:rPr>
        <w:t>6、项目综合效益评价</w:t>
      </w:r>
    </w:p>
    <w:p>
      <w:pPr>
        <w:spacing w:line="360" w:lineRule="auto"/>
        <w:ind w:firstLine="562" w:firstLineChars="200"/>
        <w:outlineLvl w:val="1"/>
        <w:rPr>
          <w:rFonts w:hint="eastAsia" w:ascii="宋体" w:hAnsi="宋体"/>
          <w:b/>
          <w:sz w:val="28"/>
          <w:szCs w:val="28"/>
        </w:rPr>
      </w:pPr>
      <w:bookmarkStart w:id="4" w:name="_Toc496105191"/>
      <w:r>
        <w:rPr>
          <w:rFonts w:hint="eastAsia" w:ascii="宋体" w:hAnsi="宋体"/>
          <w:b/>
          <w:sz w:val="28"/>
          <w:szCs w:val="28"/>
        </w:rPr>
        <w:t>四、主要结论</w:t>
      </w:r>
      <w:bookmarkEnd w:id="4"/>
    </w:p>
    <w:p>
      <w:pPr>
        <w:spacing w:line="360" w:lineRule="auto"/>
        <w:ind w:firstLine="560" w:firstLineChars="200"/>
        <w:rPr>
          <w:rFonts w:hint="eastAsia" w:ascii="宋体" w:hAnsi="宋体"/>
          <w:sz w:val="28"/>
          <w:szCs w:val="28"/>
        </w:rPr>
      </w:pPr>
      <w:r>
        <w:rPr>
          <w:rFonts w:hint="eastAsia" w:ascii="宋体" w:hAnsi="宋体"/>
          <w:sz w:val="28"/>
          <w:szCs w:val="28"/>
        </w:rPr>
        <w:t>本项目为公共设施项目。</w:t>
      </w:r>
    </w:p>
    <w:p>
      <w:pPr>
        <w:spacing w:line="360" w:lineRule="auto"/>
        <w:ind w:firstLine="560" w:firstLineChars="200"/>
        <w:rPr>
          <w:rFonts w:hint="eastAsia" w:ascii="宋体" w:hAnsi="宋体"/>
          <w:sz w:val="28"/>
          <w:szCs w:val="28"/>
        </w:rPr>
      </w:pPr>
      <w:r>
        <w:rPr>
          <w:rFonts w:hint="eastAsia" w:ascii="宋体" w:hAnsi="宋体"/>
          <w:sz w:val="28"/>
          <w:szCs w:val="28"/>
        </w:rPr>
        <w:t>本项目的建设将完善赤城街道栖霞小学教学活动场所，满足在校师生正常教学需求。同时，加强中小学校基础设施硬件建设，适应现代教育发展的需要。</w:t>
      </w:r>
    </w:p>
    <w:p>
      <w:pPr>
        <w:spacing w:line="360" w:lineRule="auto"/>
        <w:ind w:firstLine="560" w:firstLineChars="200"/>
        <w:rPr>
          <w:rFonts w:hint="eastAsia" w:ascii="宋体" w:hAnsi="宋体"/>
          <w:sz w:val="28"/>
          <w:szCs w:val="28"/>
        </w:rPr>
      </w:pPr>
      <w:r>
        <w:rPr>
          <w:rFonts w:hint="eastAsia" w:ascii="宋体" w:hAnsi="宋体"/>
          <w:sz w:val="28"/>
          <w:szCs w:val="28"/>
        </w:rPr>
        <w:t>项目建设是必要的。</w:t>
      </w:r>
    </w:p>
    <w:p>
      <w:pPr>
        <w:spacing w:line="360" w:lineRule="auto"/>
        <w:ind w:firstLine="560" w:firstLineChars="200"/>
        <w:rPr>
          <w:rFonts w:hint="eastAsia" w:ascii="宋体" w:hAnsi="宋体"/>
          <w:sz w:val="28"/>
          <w:szCs w:val="28"/>
        </w:rPr>
      </w:pPr>
      <w:r>
        <w:rPr>
          <w:rFonts w:hint="eastAsia" w:ascii="宋体" w:hAnsi="宋体"/>
          <w:sz w:val="28"/>
          <w:szCs w:val="28"/>
        </w:rPr>
        <w:t>本项目建设方案可行，技术保障可靠。通过对本项目的国民经济评价、社会效益分析、社会风险分析、社会互适性分析，认为项目具有较好的社会效益。项目实施与当地社会环境的适应性好。</w:t>
      </w:r>
    </w:p>
    <w:p>
      <w:pPr>
        <w:spacing w:line="360" w:lineRule="auto"/>
        <w:ind w:firstLine="560" w:firstLineChars="200"/>
        <w:rPr>
          <w:rFonts w:hint="eastAsia" w:ascii="宋体" w:hAnsi="宋体"/>
          <w:sz w:val="28"/>
          <w:szCs w:val="28"/>
        </w:rPr>
      </w:pPr>
      <w:r>
        <w:rPr>
          <w:rFonts w:hint="eastAsia" w:ascii="宋体" w:hAnsi="宋体"/>
          <w:sz w:val="28"/>
          <w:szCs w:val="28"/>
        </w:rPr>
        <w:t>总之，我们认为本项目的建设是可行的。</w:t>
      </w:r>
    </w:p>
    <w:p>
      <w:pPr>
        <w:spacing w:line="360" w:lineRule="auto"/>
        <w:jc w:val="center"/>
        <w:outlineLvl w:val="0"/>
        <w:rPr>
          <w:rFonts w:hint="eastAsia" w:ascii="宋体" w:hAnsi="宋体"/>
          <w:b/>
          <w:sz w:val="52"/>
          <w:szCs w:val="52"/>
        </w:rPr>
      </w:pPr>
      <w:r>
        <w:rPr>
          <w:rFonts w:ascii="宋体" w:hAnsi="宋体"/>
          <w:b/>
          <w:sz w:val="30"/>
          <w:szCs w:val="30"/>
        </w:rPr>
        <w:br w:type="page"/>
      </w:r>
      <w:bookmarkStart w:id="5" w:name="_Toc496105192"/>
      <w:r>
        <w:rPr>
          <w:rFonts w:hint="eastAsia" w:ascii="宋体" w:hAnsi="宋体"/>
          <w:b/>
          <w:sz w:val="52"/>
          <w:szCs w:val="52"/>
        </w:rPr>
        <w:t>第二节   项目建设背景及必要性</w:t>
      </w:r>
      <w:bookmarkEnd w:id="5"/>
    </w:p>
    <w:p>
      <w:pPr>
        <w:numPr>
          <w:ilvl w:val="0"/>
          <w:numId w:val="2"/>
        </w:numPr>
        <w:spacing w:line="360" w:lineRule="auto"/>
        <w:ind w:left="0" w:firstLine="562" w:firstLineChars="200"/>
        <w:outlineLvl w:val="1"/>
        <w:rPr>
          <w:rFonts w:hint="eastAsia" w:ascii="宋体" w:hAnsi="宋体"/>
          <w:b/>
          <w:sz w:val="28"/>
          <w:szCs w:val="28"/>
        </w:rPr>
      </w:pPr>
      <w:bookmarkStart w:id="6" w:name="_Toc496105193"/>
      <w:r>
        <w:rPr>
          <w:rFonts w:hint="eastAsia" w:ascii="宋体" w:hAnsi="宋体"/>
          <w:b/>
          <w:sz w:val="28"/>
          <w:szCs w:val="28"/>
        </w:rPr>
        <w:t>项目建设背景</w:t>
      </w:r>
      <w:bookmarkEnd w:id="6"/>
    </w:p>
    <w:p>
      <w:pPr>
        <w:adjustRightInd w:val="0"/>
        <w:spacing w:line="360" w:lineRule="auto"/>
        <w:ind w:firstLine="560" w:firstLineChars="200"/>
        <w:rPr>
          <w:rFonts w:hint="eastAsia" w:ascii="宋体" w:hAnsi="宋体"/>
          <w:sz w:val="28"/>
          <w:szCs w:val="28"/>
        </w:rPr>
      </w:pPr>
      <w:r>
        <w:rPr>
          <w:rFonts w:hint="eastAsia" w:ascii="宋体" w:hAnsi="宋体"/>
          <w:sz w:val="28"/>
          <w:szCs w:val="28"/>
        </w:rPr>
        <w:t>赤城街道栖霞小学位于天台县赤城街道桥下村，是一所六年一贯制公办学校，目前校园占地面积为4800㎡，建筑面积2502㎡，设有14个教学班，现有教职工45人，学生600多人。7至未满12周岁学龄儿童入学率与12至15周岁少年儿童普及率均达100%。该校创办于1942年2月，校名为“桥里小学”。1962年3月改名为“永红小学”。1969年9月，栖霞乡中心小学由旧址坎顶村迁至该校。1992年8月，撤区并乡后，学校更名为“天台县城关镇栖霞小学”。后来撤镇变成街道，学校又更名为“赤城街道栖霞小学”。2004年被县教育局定为“民工子女学校”。2011年开始升级为副乡镇级学校。建校以来共培养小学毕业生5000多人，为上一级学校输送大量优秀生源。</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2014年开工建设的我县未来旅游交通大动脉、省重点工程60省道白鹤支线工程，起点为上门头天桐路60省道平交口，终点与104国道相接，全长13.5公里，总投资3.9亿元，采用二级公路设计标准，设计速度80公里/小时，路基宽度15米，双向两车道。该公路连接天台山龙穿峡、琼台仙谷等著名景点，并将与新天北线旅游公路相连，与国赤环线相通，到赤城山、国清寺等景点更便捷，将大大提升旅游交通网络化水平，使之形成旅游交通大走廊，努力实现路路相连，景景相通的目标。该公路全面建成后，我县旅游交通条件将大大改善，上海、杭州、绍兴等地车辆可以避开城区拥挤路段，经过该公路直接通达天台山等景点旅游观光，通行能力将大大提高，这对我县创建国家5A级旅游景区、促进我县旅游事业发展和振兴区域经济意义重大。目前60省道白鹤支线上门头天桐路60省道平交口至白鹤路段已建成并投入使用，与新天北线旅游公路、国赤环线连通正在施工当中。实施该工程学校的食堂、师生餐厅和部分宿舍将被征用拆除，当前学校占地面积不到4000㎡，学校已无地块用以安排重建上述用房，学校正常运转难以维持。</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结合赤城街道栖霞小学面临的实际困难并论证原地改扩建和整体迁建的方案优劣性和可行性，经县委县政府、赤城街道、教育局和校方等相关人员集体研究和多方论证，决定启动赤城街道栖霞小学迁建工程，以解决60省道白鹤支线与新天北线旅游公路、国赤环线连通工程给赤城街道栖霞小学造成的办学实际困难问题。建设地点选择天台县赤城街道栖霞桥下村112号（栖霞中学），栖霞中学并入赤城中学。</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栖霞中学创建于1992年，坐落于赤城山麓，距城区2公里，交通便利。学校占地面积9686.47平方米，建筑面积2690平方米。校舍除食堂外均为C级危房，因建成于九十年代初期，校舍与现行规范要求有较大差距。相关部门与单位经调查研究达成一致意见，决定整体拆除重建。</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“十三五”期间，是全县经济社会发展的重要机遇期。教育的发展开发人力资源，是天台县全面提升综合竞争力的基本战略选择。进一步做大、做强天台县教育是全面建设小康社会和构建和谐社会的迫切需要。</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 xml:space="preserve">落实科学发展观，推进经济社会和谐发展，教育担负着重要的历史使命。中央对中小学教育高度重视，加大了对各级办学条件改善、学生助学的力度，社会对教育的支撑能力逐步增强，城乡居民新的教育消费需求不断增加，为实现教育多层次、多样化发展提供了难得的历史机遇。同时，人民群众对教育的需求趋向高质量、高层次和多样化，加快教育事业发展，维护教育公平，不断满足人民群众日益增长的教育需求，是教育工作的重要任务。  </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 xml:space="preserve">中央实施教育强国战略，为教育发展提供了新的机遇。经济社会发展，人口结构的变化对教育提出了新的要求。随着人民群众生活水平、消费结构和教育观念的变化，社会对教育的需求向高层次、高质量和多样化的方向发展。随着城镇化进程的加快，人口加速向城镇转移，独生子女在学龄人口所占比重逐步增加，劳动年龄人口数量持续上升，必须加快建设学习型社会的步伐。学龄人口的变化，劳动年龄人口和老龄人口的快速增长，人口在城乡和区域的分布改变，对教育发展的规模、结构、形式与层次提出了新要求。  </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本项目的建设对完善办学条件、扩大招生规模、引进师资和增强赤城街道栖霞小学综合实力，都将具有十分重要的作用。</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赤城街道栖霞小学目前校园占地面积为4800㎡，建筑面积2502㎡，设有14个教学班，现有教职工45人，学生600多人。占地不足，无法建成上规模标准化小学，这不仅影响全国义务教育优质均衡发展县和省教育现代化县创建，也与学校学区覆盖范围内的适龄儿童入学需求不相匹配。考虑该区域集聚人口数量庞大的实际情况和赤城街道小学段就学压力，建议该项目按省二类24个教学班建设标准、三类用地标准易地建设。</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根据天台县发展规划和现有中小学布局实际，合理配置小学教育资源，改善天台县学校办学条件，因地制宜对小学进行布局调整和扩容提质。本着均衡化、合理化，就近入学的原则，切实解决天台县义务教育阶段学生入学难的问题，充分保障人民群众享受优质教育资源的权利，促进天台县教育和谐健康发展。目前赤城街道栖霞小学由于教学基础设施的极度缺乏，学校无实验室、美术教室、音乐教室等必须的辅助教室，并且由于室外活动场地狭小、体育健身设施匮乏，使得学校内的部分常规课堂教学不能开展，体育健身活动无法满足教学要求。这些都不利于学生的成长，学生在德智体美劳培育上达不到全方面均衡发展，是当前天台县创建教育优质均衡发展县需要着力解决的问题。</w:t>
      </w:r>
    </w:p>
    <w:p>
      <w:pPr>
        <w:adjustRightInd w:val="0"/>
        <w:spacing w:line="360" w:lineRule="auto"/>
        <w:ind w:firstLine="562" w:firstLineChars="200"/>
        <w:outlineLvl w:val="1"/>
        <w:rPr>
          <w:rFonts w:hint="eastAsia" w:ascii="宋体" w:hAnsi="宋体"/>
          <w:b/>
          <w:sz w:val="28"/>
          <w:szCs w:val="28"/>
        </w:rPr>
      </w:pPr>
      <w:bookmarkStart w:id="7" w:name="_Toc496105194"/>
      <w:r>
        <w:rPr>
          <w:rFonts w:hint="eastAsia" w:ascii="宋体" w:hAnsi="宋体"/>
          <w:b/>
          <w:sz w:val="28"/>
          <w:szCs w:val="28"/>
        </w:rPr>
        <w:t>二、项目建设的必要性</w:t>
      </w:r>
      <w:bookmarkEnd w:id="7"/>
    </w:p>
    <w:p>
      <w:pPr>
        <w:spacing w:line="360" w:lineRule="auto"/>
        <w:ind w:firstLine="560" w:firstLineChars="200"/>
        <w:rPr>
          <w:rFonts w:hint="eastAsia" w:ascii="宋体" w:hAnsi="宋体"/>
          <w:sz w:val="28"/>
          <w:szCs w:val="28"/>
        </w:rPr>
      </w:pPr>
      <w:r>
        <w:rPr>
          <w:rFonts w:hint="eastAsia" w:ascii="宋体" w:hAnsi="宋体"/>
          <w:sz w:val="28"/>
          <w:szCs w:val="28"/>
        </w:rPr>
        <w:t>1、加大中小学校基础设施建设，是国家实施教育强国战略，经济和社会大发展的客观需要。</w:t>
      </w:r>
    </w:p>
    <w:p>
      <w:pPr>
        <w:spacing w:line="360" w:lineRule="auto"/>
        <w:ind w:firstLine="560" w:firstLineChars="200"/>
        <w:rPr>
          <w:rFonts w:hint="eastAsia" w:ascii="宋体" w:hAnsi="宋体"/>
          <w:sz w:val="28"/>
          <w:szCs w:val="28"/>
        </w:rPr>
      </w:pPr>
      <w:r>
        <w:rPr>
          <w:rFonts w:hint="eastAsia" w:ascii="宋体" w:hAnsi="宋体"/>
          <w:sz w:val="28"/>
          <w:szCs w:val="28"/>
        </w:rPr>
        <w:t>党的十七大报告中指出的加快推进以改善民生为重点的社会建设六大任务，其中很重要的一项就是要优先发展教育，建设人力资源强国。教育是民族振兴的基石，教育公平是社会公平的重要基础。要全面贯彻党的教育方针，坚持育人为本、德育为先，办人民满意的教育，优化教育结构，促进义务教育均衡发展。</w:t>
      </w:r>
    </w:p>
    <w:p>
      <w:pPr>
        <w:spacing w:line="360" w:lineRule="auto"/>
        <w:ind w:firstLine="560" w:firstLineChars="200"/>
        <w:rPr>
          <w:rFonts w:hint="eastAsia" w:ascii="宋体" w:hAnsi="宋体"/>
          <w:sz w:val="28"/>
          <w:szCs w:val="28"/>
        </w:rPr>
      </w:pPr>
      <w:r>
        <w:rPr>
          <w:rFonts w:hint="eastAsia" w:ascii="宋体" w:hAnsi="宋体"/>
          <w:sz w:val="28"/>
          <w:szCs w:val="28"/>
        </w:rPr>
        <w:t xml:space="preserve">根据国务院《关于基础教育改革与发展的决定》要求，为进一步提高天台县基础教育的整体质量和水平，促进基础教育积极、均衡、协调和持续发展，更好的为全面建设小康社会和实现社会主义现代化服务。  </w:t>
      </w:r>
    </w:p>
    <w:p>
      <w:pPr>
        <w:spacing w:line="360" w:lineRule="auto"/>
        <w:ind w:firstLine="560" w:firstLineChars="200"/>
        <w:rPr>
          <w:rFonts w:hint="eastAsia" w:ascii="宋体" w:hAnsi="宋体"/>
          <w:sz w:val="28"/>
          <w:szCs w:val="28"/>
        </w:rPr>
      </w:pPr>
      <w:r>
        <w:rPr>
          <w:rFonts w:hint="eastAsia" w:ascii="宋体" w:hAnsi="宋体"/>
          <w:sz w:val="28"/>
          <w:szCs w:val="28"/>
        </w:rPr>
        <w:t>基础教育是科教兴国的奠基工程，是教育工作的“重中之重”。改革开放以来，天台县基础教育得到了很大发展，办学条件得到较大改善，办学水平不断提高，但是，在新的历史形势下，天台县基础教育面临着新的挑战和要求，也存在不少困难和问题。全县基础教育发展不够平衡，中小学校布局不尽合理，有部分学校规模小、办学条件差，农村学校布点过于分散，制约了办学条件的改善和办学水平的提高；全县基础教育的整体水平与人民群众对优质教育的需求不相适应。国务院《关于基础教育改革与发展决定》明确提出要“调整优化学校布局结构”，全面改善学校办学条件，促进教育质量的提高。</w:t>
      </w:r>
    </w:p>
    <w:p>
      <w:pPr>
        <w:spacing w:line="360" w:lineRule="auto"/>
        <w:ind w:firstLine="560" w:firstLineChars="200"/>
        <w:rPr>
          <w:rFonts w:hint="eastAsia" w:ascii="宋体" w:hAnsi="宋体"/>
          <w:sz w:val="28"/>
          <w:szCs w:val="28"/>
        </w:rPr>
      </w:pPr>
      <w:r>
        <w:rPr>
          <w:rFonts w:hint="eastAsia" w:ascii="宋体" w:hAnsi="宋体"/>
          <w:sz w:val="28"/>
          <w:szCs w:val="28"/>
        </w:rPr>
        <w:t>抓好中小学基础设施建设工作，是学习贯彻十七大精神，使天台县教育更好地适应全面建设小康社会的需要，是全面改善办学条件，建设规范化学校，促进天台县基础教育均衡发展，提高天台县基础教育整体水平的一项重要工作。天台县根据国务院和省相关要求，结合本县实际，认真做好全县中小学校发展规划，改善中小学校基础设施。</w:t>
      </w:r>
    </w:p>
    <w:p>
      <w:pPr>
        <w:spacing w:line="360" w:lineRule="auto"/>
        <w:ind w:firstLine="560" w:firstLineChars="200"/>
        <w:rPr>
          <w:rFonts w:hint="eastAsia" w:ascii="宋体" w:hAnsi="宋体"/>
          <w:sz w:val="28"/>
          <w:szCs w:val="28"/>
        </w:rPr>
      </w:pPr>
      <w:r>
        <w:rPr>
          <w:rFonts w:hint="eastAsia" w:ascii="宋体" w:hAnsi="宋体"/>
          <w:sz w:val="28"/>
          <w:szCs w:val="28"/>
        </w:rPr>
        <w:t>2、是推进中小学校标准化建设的需要。</w:t>
      </w:r>
    </w:p>
    <w:p>
      <w:pPr>
        <w:spacing w:line="360" w:lineRule="auto"/>
        <w:ind w:firstLine="560" w:firstLineChars="200"/>
        <w:rPr>
          <w:rFonts w:hint="eastAsia" w:ascii="宋体" w:hAnsi="宋体"/>
          <w:sz w:val="28"/>
          <w:szCs w:val="28"/>
        </w:rPr>
      </w:pPr>
      <w:r>
        <w:rPr>
          <w:rFonts w:hint="eastAsia" w:ascii="宋体" w:hAnsi="宋体"/>
          <w:sz w:val="28"/>
          <w:szCs w:val="28"/>
        </w:rPr>
        <w:t xml:space="preserve">根据国家和省中小学建设标准以及《教育部关于进一步加强中小学校舍建设与管理工作的通知》（教发〔2006〕21号），为加强中小学校建设，促进义务教育均衡发展，进一步提高中小学教育质量和发展水平，天台县人民政府在多年前就已经开始了中小学校标准化建设工作。  </w:t>
      </w:r>
    </w:p>
    <w:p>
      <w:pPr>
        <w:spacing w:line="360" w:lineRule="auto"/>
        <w:ind w:firstLine="560" w:firstLineChars="200"/>
        <w:rPr>
          <w:rFonts w:hint="eastAsia" w:ascii="宋体" w:hAnsi="宋体"/>
          <w:sz w:val="28"/>
          <w:szCs w:val="28"/>
        </w:rPr>
      </w:pPr>
      <w:r>
        <w:rPr>
          <w:rFonts w:hint="eastAsia" w:ascii="宋体" w:hAnsi="宋体"/>
          <w:sz w:val="28"/>
          <w:szCs w:val="28"/>
        </w:rPr>
        <w:t xml:space="preserve">近年来，天台县认真实施农村中小学危房改造工程、农村寄宿制学校建设工程、农村现代远程教育工程，中小学校的办学条件得到较大改善。但对照国家和省中小学建设标准，全县中小学校基础设施建设标准不高、功能不全、设施陈旧等问题还相当突出，满足不了教育教学的正常需要，影响了教育教学质量的提高和发展水平的提升，造成了教育的不公平。  </w:t>
      </w:r>
    </w:p>
    <w:p>
      <w:pPr>
        <w:spacing w:line="360" w:lineRule="auto"/>
        <w:ind w:firstLine="560" w:firstLineChars="200"/>
        <w:rPr>
          <w:rFonts w:hint="eastAsia" w:ascii="宋体" w:hAnsi="宋体"/>
          <w:sz w:val="28"/>
          <w:szCs w:val="28"/>
        </w:rPr>
      </w:pPr>
      <w:r>
        <w:rPr>
          <w:rFonts w:hint="eastAsia" w:ascii="宋体" w:hAnsi="宋体"/>
          <w:sz w:val="28"/>
          <w:szCs w:val="28"/>
        </w:rPr>
        <w:t>因此，要高标准、高质量普及九年义务教育，缩小区域内学校之间办学条件的差距，促进教育均衡发展，就必须全力推进中小学校标准化建设。</w:t>
      </w:r>
    </w:p>
    <w:p>
      <w:pPr>
        <w:spacing w:line="360" w:lineRule="auto"/>
        <w:ind w:firstLine="560" w:firstLineChars="200"/>
        <w:rPr>
          <w:rFonts w:hint="eastAsia" w:ascii="宋体" w:hAnsi="宋体"/>
          <w:sz w:val="28"/>
          <w:szCs w:val="28"/>
        </w:rPr>
      </w:pPr>
      <w:r>
        <w:rPr>
          <w:rFonts w:hint="eastAsia" w:ascii="宋体" w:hAnsi="宋体"/>
          <w:sz w:val="28"/>
          <w:szCs w:val="28"/>
        </w:rPr>
        <w:t>3、是学校适应现代优质教育发展的需要。</w:t>
      </w:r>
    </w:p>
    <w:p>
      <w:pPr>
        <w:spacing w:line="360" w:lineRule="auto"/>
        <w:ind w:firstLine="560" w:firstLineChars="200"/>
        <w:rPr>
          <w:rFonts w:hint="eastAsia" w:ascii="宋体" w:hAnsi="宋体"/>
          <w:sz w:val="28"/>
          <w:szCs w:val="28"/>
        </w:rPr>
      </w:pPr>
      <w:r>
        <w:rPr>
          <w:rFonts w:hint="eastAsia" w:ascii="宋体" w:hAnsi="宋体"/>
          <w:sz w:val="28"/>
          <w:szCs w:val="28"/>
        </w:rPr>
        <w:t>天台县教育事业发展“十三五”规划提出，全县教育工作要贯彻落实科学发展观，以全国、全省教育工作会议精神为指导，围绕创建全省“教育现代化达标县”的目标，以促进公平为重点，以提升质量为核心，以改革创新为动力，全面实施“教育竞争力提升工程”，全面推进教育现代化建设。积极扩大教育开放，实施“教育引智”和“对口合作”计划，积极引进优秀人才、教育科研项目和成果，拓展教育合作交流平台，提升学校的影响力和竞争力。</w:t>
      </w:r>
    </w:p>
    <w:p>
      <w:pPr>
        <w:spacing w:line="360" w:lineRule="auto"/>
        <w:ind w:firstLine="560" w:firstLineChars="200"/>
        <w:rPr>
          <w:rFonts w:hint="eastAsia" w:ascii="宋体" w:hAnsi="宋体"/>
          <w:sz w:val="28"/>
          <w:szCs w:val="28"/>
        </w:rPr>
      </w:pPr>
      <w:r>
        <w:rPr>
          <w:rFonts w:hint="eastAsia" w:ascii="宋体" w:hAnsi="宋体"/>
          <w:sz w:val="28"/>
          <w:szCs w:val="28"/>
        </w:rPr>
        <w:t>天台县实施“一校一品”战略，推进“区域学校特色建设”综合改革试点工作，重视校园文化建设，提升学校办学品质。加强体艺教育，推动运动设施标准化，推进“两体一艺”和大课间活动，重视学生体质健康。加强科技教育，巩固科技创新活动成果，进一步扩大科技创新项目竞争优势。</w:t>
      </w:r>
    </w:p>
    <w:p>
      <w:pPr>
        <w:spacing w:line="360" w:lineRule="auto"/>
        <w:ind w:firstLine="560" w:firstLineChars="200"/>
        <w:rPr>
          <w:rFonts w:hint="eastAsia" w:ascii="宋体" w:hAnsi="宋体"/>
          <w:sz w:val="28"/>
          <w:szCs w:val="28"/>
        </w:rPr>
      </w:pPr>
      <w:r>
        <w:rPr>
          <w:rFonts w:hint="eastAsia" w:ascii="宋体" w:hAnsi="宋体"/>
          <w:sz w:val="28"/>
          <w:szCs w:val="28"/>
        </w:rPr>
        <w:t xml:space="preserve">只有完善的教学设施，良好的校园环境，完备的软硬件建设，才能吸引优秀人才到学校教学，促进学校教育良性与教育循环，全面提升学校的影响力和竞争力，适应现代优质教育发展的需要。 </w:t>
      </w:r>
    </w:p>
    <w:p>
      <w:pPr>
        <w:spacing w:line="360" w:lineRule="auto"/>
        <w:ind w:firstLine="560" w:firstLineChars="200"/>
        <w:rPr>
          <w:rFonts w:hint="eastAsia" w:ascii="宋体" w:hAnsi="宋体"/>
          <w:sz w:val="28"/>
          <w:szCs w:val="28"/>
        </w:rPr>
      </w:pPr>
      <w:r>
        <w:rPr>
          <w:rFonts w:hint="eastAsia" w:ascii="宋体" w:hAnsi="宋体"/>
          <w:sz w:val="28"/>
          <w:szCs w:val="28"/>
        </w:rPr>
        <w:t>4、本项目的建设是满足学区内学龄人口的就读需要。</w:t>
      </w:r>
    </w:p>
    <w:p>
      <w:pPr>
        <w:pStyle w:val="70"/>
        <w:spacing w:line="360" w:lineRule="auto"/>
        <w:ind w:left="560" w:firstLine="0" w:firstLineChars="0"/>
        <w:rPr>
          <w:rFonts w:hint="eastAsia" w:ascii="宋体" w:hAnsi="宋体"/>
          <w:sz w:val="28"/>
          <w:szCs w:val="28"/>
        </w:rPr>
      </w:pPr>
      <w:r>
        <w:rPr>
          <w:rFonts w:hint="eastAsia" w:ascii="宋体" w:hAnsi="宋体"/>
          <w:sz w:val="28"/>
          <w:szCs w:val="28"/>
        </w:rPr>
        <w:t>（1）学区人口数据及近几年入学情况分析</w:t>
      </w:r>
    </w:p>
    <w:p>
      <w:pPr>
        <w:pStyle w:val="70"/>
        <w:spacing w:line="360" w:lineRule="auto"/>
        <w:ind w:firstLineChars="0"/>
        <w:rPr>
          <w:rFonts w:hint="eastAsia" w:ascii="宋体" w:hAnsi="宋体"/>
          <w:sz w:val="28"/>
          <w:szCs w:val="28"/>
        </w:rPr>
      </w:pPr>
      <w:r>
        <w:rPr>
          <w:rFonts w:hint="eastAsia" w:ascii="宋体" w:hAnsi="宋体"/>
          <w:sz w:val="28"/>
          <w:szCs w:val="28"/>
        </w:rPr>
        <w:t>赤城街道栖霞片现有住户3648户，人口约12000人，每年的学龄儿童数为140人左右。近年招生情况可分三段分析：1、以新四小的搬迁和坎顶小学的撤并年为界即2015年前，栖霞小学和坎顶小学每年共招生130人左右，其中本籍生110人左右，占本籍生源的80%左右；2、新四小的搬迁和坎顶小学的撤并，学校招生情况有了一定的变化， 2016学年三个班共招生126人其中本籍生源107人，2017学年两个班共招生89人本籍生源为75人，2018学年三个班共招生119人本籍生源为103人；本地生招生数占本地生源的54%-76%。3、天桐路西段即60省道复线开始建设，校园将近三分之一被征收，校园硬件设施及校园环境被市教育局领导批为全市最差时，2019学年共招生80人本籍生源为72人，2020年度招生70人本地生源62人，2021年度招生71人本地生源66人，本地生招生数占本地生源的46%-52%。</w:t>
      </w:r>
    </w:p>
    <w:p>
      <w:pPr>
        <w:pStyle w:val="70"/>
        <w:spacing w:line="360" w:lineRule="auto"/>
        <w:ind w:firstLineChars="150"/>
        <w:rPr>
          <w:rFonts w:hint="eastAsia" w:ascii="宋体" w:hAnsi="宋体"/>
          <w:sz w:val="28"/>
          <w:szCs w:val="28"/>
        </w:rPr>
      </w:pPr>
      <w:r>
        <w:rPr>
          <w:rFonts w:hint="eastAsia" w:ascii="宋体" w:hAnsi="宋体"/>
          <w:sz w:val="28"/>
          <w:szCs w:val="28"/>
        </w:rPr>
        <w:t>（2）非本籍生源分析</w:t>
      </w:r>
    </w:p>
    <w:p>
      <w:pPr>
        <w:pStyle w:val="70"/>
        <w:spacing w:line="360" w:lineRule="auto"/>
        <w:ind w:firstLineChars="0"/>
        <w:rPr>
          <w:rFonts w:hint="eastAsia" w:ascii="宋体" w:hAnsi="宋体"/>
          <w:sz w:val="28"/>
          <w:szCs w:val="28"/>
        </w:rPr>
      </w:pPr>
      <w:r>
        <w:rPr>
          <w:rFonts w:hint="eastAsia" w:ascii="宋体" w:hAnsi="宋体"/>
          <w:sz w:val="28"/>
          <w:szCs w:val="28"/>
        </w:rPr>
        <w:t>1、2021年度全县农村进城读书和进城的外来民工子女生源共1000多人，其中需要赤城街道各校接纳的有700多人，这部分中无户口无房产的有200多人，属于劳动路以西的有100人左右。根据学区划分，城区劳动路以西的进城务工人员、经商户及外来民工子女就读的小学学校为栖霞小学、坎顶小学、东升小学。目前坎顶小学和东升小学已被撤并，那么可供此类学生就读的学校就只剩下栖霞小学一所。但栖霞小学受客观条件限制，只能容纳14个教学班。也就是说，每年只能招收2个班或3个班，所以每年学校在招收了本籍生后最多只能解决20个就读名额，学位的欠缺额很大！如2021年度只招收了5个此类生源。从教育局招生数据中得知，剩下的100多人中，赤城二小和赤城小学因部分家长在城区开店等原因招收了30多人，再余下的流向了远离城区的丽泽小学、唐宋小学、东风小学、山河小学、石溪小学、黄榜小学、横山小学等。而这些人居住或务工地都是离栖霞小学最近的，也就是说，如建好新校区，这部分生源必然回流。</w:t>
      </w:r>
    </w:p>
    <w:p>
      <w:pPr>
        <w:pStyle w:val="70"/>
        <w:spacing w:line="360" w:lineRule="auto"/>
        <w:ind w:firstLineChars="0"/>
        <w:rPr>
          <w:rFonts w:hint="eastAsia" w:ascii="宋体" w:hAnsi="宋体"/>
          <w:sz w:val="28"/>
          <w:szCs w:val="28"/>
        </w:rPr>
      </w:pPr>
      <w:r>
        <w:rPr>
          <w:rFonts w:hint="eastAsia" w:ascii="宋体" w:hAnsi="宋体"/>
          <w:sz w:val="28"/>
          <w:szCs w:val="28"/>
        </w:rPr>
        <w:t>2、二胎政策实施也已有好几年，适龄儿童就读高峰将逐年显现，预计2022年将开始冲击全县各小学，特别是城区小学的招生承受能力，作为赤城街道西部唯一一所作为老城区招生补充的学校，赤城街道栖霞小学也将承担很大就读压力。初步估计招生数将在原有的招生规模上至少上浮20%。</w:t>
      </w:r>
    </w:p>
    <w:p>
      <w:pPr>
        <w:pStyle w:val="70"/>
        <w:spacing w:line="360" w:lineRule="auto"/>
        <w:ind w:firstLineChars="0"/>
        <w:rPr>
          <w:rFonts w:hint="eastAsia" w:ascii="宋体" w:hAnsi="宋体"/>
          <w:sz w:val="28"/>
          <w:szCs w:val="28"/>
        </w:rPr>
      </w:pPr>
      <w:r>
        <w:rPr>
          <w:rFonts w:hint="eastAsia" w:ascii="宋体" w:hAnsi="宋体"/>
          <w:sz w:val="28"/>
          <w:szCs w:val="28"/>
        </w:rPr>
        <w:t>3、为创建第二批“浙江省现代服务业集聚示范区”、“国家5A级旅游区”，赤城街道栖霞片被规划为天台山旅游服务基地中的“影视小镇”，将来随着影视小镇项目的实施，赤城街道栖霞片的整体布局将发生很大变化，就业人员子女就读要求也将大量集中。</w:t>
      </w:r>
    </w:p>
    <w:p>
      <w:pPr>
        <w:spacing w:line="360" w:lineRule="auto"/>
        <w:ind w:firstLine="560" w:firstLineChars="200"/>
        <w:jc w:val="left"/>
        <w:rPr>
          <w:rFonts w:hint="eastAsia" w:ascii="宋体" w:hAnsi="宋体"/>
          <w:sz w:val="28"/>
          <w:szCs w:val="28"/>
        </w:rPr>
      </w:pPr>
      <w:r>
        <w:rPr>
          <w:rFonts w:hint="eastAsia" w:ascii="宋体" w:hAnsi="宋体"/>
          <w:sz w:val="28"/>
          <w:szCs w:val="28"/>
        </w:rPr>
        <w:t>（3）新建小学规模测算</w:t>
      </w:r>
    </w:p>
    <w:p>
      <w:pPr>
        <w:spacing w:line="360" w:lineRule="auto"/>
        <w:ind w:firstLine="560" w:firstLineChars="200"/>
        <w:jc w:val="left"/>
        <w:rPr>
          <w:rFonts w:hint="eastAsia" w:ascii="宋体" w:hAnsi="宋体"/>
          <w:sz w:val="28"/>
          <w:szCs w:val="28"/>
        </w:rPr>
      </w:pPr>
      <w:r>
        <w:rPr>
          <w:rFonts w:hint="eastAsia" w:ascii="宋体" w:hAnsi="宋体"/>
          <w:sz w:val="28"/>
          <w:szCs w:val="28"/>
        </w:rPr>
        <w:t>1、按最低规模测算</w:t>
      </w:r>
    </w:p>
    <w:p>
      <w:pPr>
        <w:spacing w:line="360" w:lineRule="auto"/>
        <w:ind w:firstLine="560" w:firstLineChars="200"/>
        <w:jc w:val="left"/>
        <w:rPr>
          <w:rFonts w:hint="eastAsia" w:ascii="宋体" w:hAnsi="宋体"/>
          <w:sz w:val="28"/>
          <w:szCs w:val="28"/>
        </w:rPr>
      </w:pPr>
      <w:r>
        <w:rPr>
          <w:rFonts w:hint="eastAsia" w:ascii="宋体" w:hAnsi="宋体"/>
          <w:sz w:val="28"/>
          <w:szCs w:val="28"/>
        </w:rPr>
        <w:t>从2021年度生源分析可以得出，肯定会在栖霞小学就读的应该是本学籍的70人左右和外学籍中除赤城二小和赤城小学招收掉以外的70人左右，共140人左右。按每班45人计算即每年大于或等于3个班，六个年级至少18个班。</w:t>
      </w:r>
    </w:p>
    <w:p>
      <w:pPr>
        <w:spacing w:line="360" w:lineRule="auto"/>
        <w:ind w:firstLine="560" w:firstLineChars="200"/>
        <w:jc w:val="left"/>
        <w:rPr>
          <w:rFonts w:hint="eastAsia" w:ascii="宋体" w:hAnsi="宋体"/>
          <w:sz w:val="28"/>
          <w:szCs w:val="28"/>
        </w:rPr>
      </w:pPr>
      <w:r>
        <w:rPr>
          <w:rFonts w:hint="eastAsia" w:ascii="宋体" w:hAnsi="宋体"/>
          <w:sz w:val="28"/>
          <w:szCs w:val="28"/>
        </w:rPr>
        <w:t>2、按理想规模测算</w:t>
      </w:r>
    </w:p>
    <w:p>
      <w:pPr>
        <w:spacing w:line="360" w:lineRule="auto"/>
        <w:ind w:firstLine="560" w:firstLineChars="200"/>
        <w:jc w:val="left"/>
        <w:rPr>
          <w:rFonts w:hint="eastAsia" w:ascii="宋体" w:hAnsi="宋体"/>
          <w:sz w:val="28"/>
          <w:szCs w:val="28"/>
        </w:rPr>
      </w:pPr>
      <w:r>
        <w:rPr>
          <w:rFonts w:hint="eastAsia" w:ascii="宋体" w:hAnsi="宋体"/>
          <w:sz w:val="28"/>
          <w:szCs w:val="28"/>
        </w:rPr>
        <w:t>新校区建成后，补掉了学校办学条件极差的短板，本籍生源将大量回流，到时就读率至少回到80%左右。栖霞小学新校区的建成将使学校有能力接收劳动路以西经商户及进城务工人员的子女，预估计这部分生源也将有60%左右会到栖霞小学就读。这样一来，到时生源的测算为：本地生140*80%=112人；劳动路以西经商户及进城务工人员子女100*60%=60人；预计每年的生源总量在170人以上，即每年4个教学班以上。到2022年后，两胎政策带来的就学冲击，再加上今后“影视小镇”及“和合小镇”建成所带来的生源将会使学校每年的生源量远超4个班以上，按六个年级计算，办学规模将在30个班左右。 考虑到2023年实验小学始丰校区的建成使用，本地生源中的下朱村等靠近始丰街道的部分生源可能有机会到实验小学就读的情况，在总生源中减去一个班45人左右。那么学校的最终办学规模应该定为24个班左右。</w:t>
      </w:r>
    </w:p>
    <w:p>
      <w:pPr>
        <w:spacing w:line="360" w:lineRule="auto"/>
        <w:ind w:firstLine="560" w:firstLineChars="200"/>
        <w:rPr>
          <w:rFonts w:hint="eastAsia" w:ascii="宋体" w:hAnsi="宋体"/>
          <w:sz w:val="28"/>
          <w:szCs w:val="28"/>
        </w:rPr>
      </w:pPr>
      <w:r>
        <w:rPr>
          <w:rFonts w:hint="eastAsia" w:ascii="宋体" w:hAnsi="宋体"/>
          <w:sz w:val="28"/>
          <w:szCs w:val="28"/>
        </w:rPr>
        <w:t>综上所述，本项目建设是必要的。</w:t>
      </w:r>
    </w:p>
    <w:p>
      <w:pPr>
        <w:spacing w:line="360" w:lineRule="auto"/>
        <w:jc w:val="center"/>
        <w:outlineLvl w:val="0"/>
        <w:rPr>
          <w:rFonts w:hint="eastAsia" w:ascii="宋体" w:hAnsi="宋体"/>
          <w:b/>
          <w:sz w:val="52"/>
          <w:szCs w:val="52"/>
        </w:rPr>
      </w:pPr>
      <w:r>
        <w:rPr>
          <w:rFonts w:ascii="宋体" w:hAnsi="宋体"/>
          <w:b/>
          <w:sz w:val="30"/>
          <w:szCs w:val="30"/>
        </w:rPr>
        <w:br w:type="page"/>
      </w:r>
      <w:bookmarkStart w:id="8" w:name="_Toc496105195"/>
      <w:r>
        <w:rPr>
          <w:rFonts w:hint="eastAsia" w:ascii="宋体" w:hAnsi="宋体"/>
          <w:b/>
          <w:sz w:val="52"/>
          <w:szCs w:val="52"/>
        </w:rPr>
        <w:t>第三节   项目建设规模的确定</w:t>
      </w:r>
      <w:bookmarkEnd w:id="8"/>
    </w:p>
    <w:p>
      <w:pPr>
        <w:spacing w:line="360" w:lineRule="auto"/>
        <w:ind w:firstLine="560" w:firstLineChars="200"/>
        <w:rPr>
          <w:rFonts w:hint="eastAsia" w:ascii="宋体" w:hAnsi="宋体"/>
          <w:sz w:val="28"/>
          <w:szCs w:val="28"/>
        </w:rPr>
      </w:pPr>
      <w:r>
        <w:rPr>
          <w:rFonts w:hint="eastAsia" w:ascii="宋体" w:hAnsi="宋体"/>
          <w:sz w:val="28"/>
          <w:szCs w:val="28"/>
        </w:rPr>
        <w:t>建设规模及内容：按办学规模24个班、每班45人，共1080人考虑。规划用地按照浙江省工程建设标准《九年制义务教育普通学校建设标准》完全小学Ⅲ类标准计算，生均用地指标为17.33㎡，按照标准需要规划用地18716.4㎡，计28.1亩。结合建设地点周边实际情况并经相关部门和单位研究确定总用地面积为19001㎡计28.5亩。具体情况为原栖霞中学占地面积9686.47㎡计14.53亩；原栖霞中学东侧新征用地8939㎡计13.41亩，原栖霞中学西南侧学校大门至天桐路新征用地375㎡计0.56亩，满足九年制义务教育普通学校建设标准Ⅲ类用地标准（18716. 4㎡计28.1亩）。</w:t>
      </w:r>
    </w:p>
    <w:p>
      <w:pPr>
        <w:spacing w:line="360" w:lineRule="auto"/>
        <w:ind w:firstLine="560" w:firstLineChars="200"/>
        <w:rPr>
          <w:rFonts w:hint="eastAsia" w:ascii="宋体" w:hAnsi="宋体"/>
          <w:sz w:val="28"/>
          <w:szCs w:val="28"/>
        </w:rPr>
      </w:pPr>
      <w:r>
        <w:rPr>
          <w:rFonts w:hint="eastAsia" w:ascii="宋体" w:hAnsi="宋体"/>
          <w:sz w:val="28"/>
          <w:szCs w:val="28"/>
        </w:rPr>
        <w:t>建设规模建议按照24个班Ⅱ类标准执行，生均建筑面积8.44㎡，共需要校舍建筑面积9110㎡；加上连廊面积；以及均衡县要求每12个班为基准配音乐教室、美术教室和舞蹈教室，面积均要求96㎡以上；并考虑用地按照Ⅲ类标准，结合《九年制义务教育普通学校建设标准》正处于修订阶段，相比原标准建设用地与建设规模有较大幅度提高，建议地上建筑面积为11100㎡。</w:t>
      </w:r>
    </w:p>
    <w:p>
      <w:pPr>
        <w:spacing w:line="360" w:lineRule="auto"/>
        <w:ind w:firstLine="560" w:firstLineChars="200"/>
        <w:rPr>
          <w:rFonts w:hint="eastAsia" w:ascii="宋体" w:hAnsi="宋体"/>
          <w:sz w:val="28"/>
          <w:szCs w:val="28"/>
        </w:rPr>
      </w:pPr>
      <w:r>
        <w:rPr>
          <w:rFonts w:hint="eastAsia" w:ascii="宋体" w:hAnsi="宋体"/>
          <w:sz w:val="28"/>
          <w:szCs w:val="28"/>
        </w:rPr>
        <w:t>校园总占地面积19001㎡，建筑占地面积约3300㎡，4道250M田径场约5800㎡，其他体育活动场地约700㎡，校内绿地率35%,加校外绿化面积按6700㎡，附属工程面积约2500㎡。</w:t>
      </w:r>
    </w:p>
    <w:p>
      <w:pPr>
        <w:spacing w:line="360" w:lineRule="auto"/>
        <w:ind w:firstLine="560" w:firstLineChars="200"/>
        <w:rPr>
          <w:rFonts w:hint="eastAsia" w:ascii="宋体" w:hAnsi="宋体"/>
          <w:sz w:val="28"/>
          <w:szCs w:val="28"/>
        </w:rPr>
      </w:pPr>
      <w:r>
        <w:rPr>
          <w:rFonts w:hint="eastAsia" w:ascii="宋体" w:hAnsi="宋体"/>
          <w:sz w:val="28"/>
          <w:szCs w:val="28"/>
        </w:rPr>
        <w:t>因学校地处我县未来旅游交通大动脉、省重点工程60省道白鹤支线路侧。该公路连接天台山龙穿峡、琼台仙谷等著名景点，并将与新天北线旅游公路相连，与国赤环线相通，到赤城山、国清寺等景点更便捷，将大大提升旅游交通网络化水平，使之形成旅游交通大走廊，努力实现路路相连，景景相通的目标。该公路全面建成后，我县旅游交通条件将大大改善，上海、杭州、绍兴等地车辆可以避开城区拥挤路段，经过该公路直接通达天台山等景点旅游观光，通行能力将大大提高，这对我县创建国家5A级旅游景区、促进我县旅游事业发展和振兴区域经济意义重大。考虑学校所处的特殊地理位置，校容校貌影响我县旅游形象，规划用地只达到完全小学24班Ⅲ类标准，校内用地已无法解决机动车与非机动车停车位设置，因此建议机动车与非机动车停车位建设架空层停放。24班完全小学需要教职员工58人，按80%配机动车需46个停车位，按30㎡/辆需1380㎡；非机动车位配12个，按2.5㎡/辆须30㎡；学生五、六年级360人配自行车位，按1.5㎡/辆需540㎡；加上泵房、机房、配电房等功能性用房。综合上述因素，建议架空层建筑面积为2000㎡。</w:t>
      </w:r>
    </w:p>
    <w:p>
      <w:pPr>
        <w:spacing w:line="360" w:lineRule="auto"/>
        <w:ind w:firstLine="560" w:firstLineChars="200"/>
        <w:rPr>
          <w:rFonts w:hint="eastAsia" w:ascii="宋体" w:hAnsi="宋体"/>
          <w:sz w:val="28"/>
          <w:szCs w:val="28"/>
        </w:rPr>
      </w:pPr>
      <w:r>
        <w:rPr>
          <w:rFonts w:hint="eastAsia" w:ascii="宋体" w:hAnsi="宋体"/>
          <w:sz w:val="28"/>
          <w:szCs w:val="28"/>
        </w:rPr>
        <w:t>综合上述情况，本项目办学规模24班，用地按Ⅲ类标准，建设规模按Ⅱ类标准。总用地面积为19001㎡计28.5亩，地上建筑面积11100㎡，架空层建筑面积2000㎡，总建筑面积13100㎡。容积率0.7，建筑密度17.7%，绿地率35%。</w:t>
      </w:r>
    </w:p>
    <w:p>
      <w:pPr>
        <w:spacing w:line="360" w:lineRule="auto"/>
        <w:ind w:firstLine="602" w:firstLineChars="200"/>
        <w:rPr>
          <w:rFonts w:hint="eastAsia" w:ascii="宋体" w:hAnsi="宋体"/>
          <w:b/>
          <w:sz w:val="30"/>
          <w:szCs w:val="30"/>
        </w:rPr>
      </w:pPr>
    </w:p>
    <w:p>
      <w:pPr>
        <w:spacing w:line="360" w:lineRule="auto"/>
        <w:jc w:val="center"/>
        <w:outlineLvl w:val="0"/>
        <w:rPr>
          <w:rFonts w:hint="eastAsia" w:ascii="宋体" w:hAnsi="宋体"/>
          <w:b/>
          <w:sz w:val="52"/>
          <w:szCs w:val="52"/>
        </w:rPr>
      </w:pPr>
      <w:r>
        <w:rPr>
          <w:rFonts w:ascii="宋体" w:hAnsi="宋体"/>
          <w:b/>
          <w:sz w:val="30"/>
          <w:szCs w:val="30"/>
        </w:rPr>
        <w:br w:type="page"/>
      </w:r>
      <w:bookmarkStart w:id="9" w:name="_Toc496105196"/>
      <w:r>
        <w:rPr>
          <w:rFonts w:hint="eastAsia" w:ascii="宋体" w:hAnsi="宋体"/>
          <w:b/>
          <w:sz w:val="52"/>
          <w:szCs w:val="52"/>
        </w:rPr>
        <w:t>第四节   项目选址与建设条件</w:t>
      </w:r>
      <w:bookmarkEnd w:id="9"/>
    </w:p>
    <w:p>
      <w:pPr>
        <w:spacing w:line="360" w:lineRule="auto"/>
        <w:ind w:firstLine="562" w:firstLineChars="200"/>
        <w:outlineLvl w:val="1"/>
        <w:rPr>
          <w:rFonts w:hint="eastAsia" w:ascii="宋体" w:hAnsi="宋体"/>
          <w:b/>
          <w:sz w:val="28"/>
          <w:szCs w:val="28"/>
        </w:rPr>
      </w:pPr>
      <w:bookmarkStart w:id="10" w:name="_Toc496105197"/>
      <w:r>
        <w:rPr>
          <w:rFonts w:hint="eastAsia" w:ascii="宋体" w:hAnsi="宋体"/>
          <w:b/>
          <w:sz w:val="28"/>
          <w:szCs w:val="28"/>
        </w:rPr>
        <w:t>一、项目选址</w:t>
      </w:r>
      <w:bookmarkEnd w:id="10"/>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本项目拟选址在天台县赤城街道栖霞桥下村112号（栖霞中学），本项目选址符合《天台县县</w:t>
      </w:r>
      <w:r>
        <w:rPr>
          <w:rFonts w:ascii="宋体" w:hAnsi="宋体"/>
          <w:sz w:val="28"/>
          <w:szCs w:val="28"/>
        </w:rPr>
        <w:t>域总体规划（2007-2020）》</w:t>
      </w:r>
      <w:r>
        <w:rPr>
          <w:rFonts w:hint="eastAsia" w:ascii="宋体" w:hAnsi="宋体"/>
          <w:sz w:val="28"/>
          <w:szCs w:val="28"/>
        </w:rPr>
        <w:t>要求项目建设用地规划性质属“公共设施用地”，符合天台县总体规划及控制性详细规划的要求。综上所述，项目选址用地符合国家现行有关供地政策。</w:t>
      </w:r>
    </w:p>
    <w:p>
      <w:pPr>
        <w:spacing w:line="360" w:lineRule="auto"/>
        <w:ind w:firstLine="562" w:firstLineChars="200"/>
        <w:outlineLvl w:val="1"/>
        <w:rPr>
          <w:rFonts w:hint="eastAsia" w:ascii="宋体" w:hAnsi="宋体"/>
          <w:b/>
          <w:sz w:val="28"/>
          <w:szCs w:val="28"/>
        </w:rPr>
      </w:pPr>
      <w:bookmarkStart w:id="11" w:name="_Toc496105198"/>
      <w:r>
        <w:rPr>
          <w:rFonts w:hint="eastAsia" w:ascii="宋体" w:hAnsi="宋体"/>
          <w:b/>
          <w:sz w:val="28"/>
          <w:szCs w:val="28"/>
        </w:rPr>
        <w:t>二、 建设条件</w:t>
      </w:r>
      <w:bookmarkEnd w:id="11"/>
    </w:p>
    <w:p>
      <w:pPr>
        <w:spacing w:line="360" w:lineRule="auto"/>
        <w:ind w:firstLine="560" w:firstLineChars="200"/>
        <w:rPr>
          <w:rFonts w:hint="eastAsia" w:ascii="宋体" w:hAnsi="宋体"/>
          <w:sz w:val="28"/>
          <w:szCs w:val="28"/>
        </w:rPr>
      </w:pPr>
      <w:r>
        <w:rPr>
          <w:rFonts w:hint="eastAsia" w:ascii="宋体" w:hAnsi="宋体"/>
          <w:sz w:val="28"/>
          <w:szCs w:val="28"/>
        </w:rPr>
        <w:t>1、地理位置</w:t>
      </w:r>
    </w:p>
    <w:p>
      <w:pPr>
        <w:spacing w:line="360" w:lineRule="auto"/>
        <w:ind w:firstLine="560" w:firstLineChars="200"/>
        <w:rPr>
          <w:rFonts w:hint="eastAsia" w:ascii="宋体" w:hAnsi="宋体"/>
          <w:sz w:val="28"/>
          <w:szCs w:val="28"/>
        </w:rPr>
      </w:pPr>
      <w:r>
        <w:rPr>
          <w:rFonts w:hint="eastAsia" w:ascii="宋体" w:hAnsi="宋体"/>
          <w:sz w:val="28"/>
          <w:szCs w:val="28"/>
        </w:rPr>
        <w:t>天台县位于浙江省东中部，以境内天台山得名，东连宁海、三门，西接磐安，南邻仙居、临海，北界新昌。地处北纬28°57′02″-29°20′39″、东经120°41′24″-121°15′46″之间。东西长54.7公里，南北宽33.5公里，总面积1420.70平方公里。</w:t>
      </w:r>
    </w:p>
    <w:p>
      <w:pPr>
        <w:spacing w:line="360" w:lineRule="auto"/>
        <w:ind w:firstLine="560" w:firstLineChars="200"/>
        <w:rPr>
          <w:rFonts w:hint="eastAsia" w:ascii="宋体" w:hAnsi="宋体"/>
          <w:sz w:val="28"/>
          <w:szCs w:val="28"/>
        </w:rPr>
      </w:pPr>
      <w:r>
        <w:rPr>
          <w:rFonts w:hint="eastAsia" w:ascii="宋体" w:hAnsi="宋体"/>
          <w:sz w:val="28"/>
          <w:szCs w:val="28"/>
        </w:rPr>
        <w:t>本项目位于天台县赤城街道栖霞桥下村112号（栖霞中学），位于县城西区。</w:t>
      </w:r>
    </w:p>
    <w:p>
      <w:pPr>
        <w:spacing w:line="360" w:lineRule="auto"/>
        <w:ind w:firstLine="560" w:firstLineChars="200"/>
        <w:rPr>
          <w:rFonts w:hint="eastAsia" w:ascii="宋体" w:hAnsi="宋体"/>
          <w:sz w:val="28"/>
          <w:szCs w:val="28"/>
        </w:rPr>
      </w:pPr>
      <w:r>
        <w:rPr>
          <w:rFonts w:hint="eastAsia" w:ascii="宋体" w:hAnsi="宋体"/>
          <w:sz w:val="28"/>
          <w:szCs w:val="28"/>
        </w:rPr>
        <w:t>2、地质条件</w:t>
      </w:r>
    </w:p>
    <w:p>
      <w:pPr>
        <w:spacing w:line="360" w:lineRule="auto"/>
        <w:ind w:firstLine="560" w:firstLineChars="200"/>
        <w:rPr>
          <w:rFonts w:hint="eastAsia" w:ascii="宋体" w:hAnsi="宋体"/>
          <w:sz w:val="28"/>
          <w:szCs w:val="28"/>
        </w:rPr>
      </w:pPr>
      <w:r>
        <w:rPr>
          <w:rFonts w:hint="eastAsia" w:ascii="宋体" w:hAnsi="宋体"/>
          <w:sz w:val="28"/>
          <w:szCs w:val="28"/>
        </w:rPr>
        <w:t>根据《中国地震区划图》和《中国地震动峰值加速度区划图》本场地所在测区地震烈度为Ⅵ度区，其地震动峰值加速度0.05g，根据相关规范，可不进行场地类别划分及砂土液化判别。</w:t>
      </w:r>
    </w:p>
    <w:p>
      <w:pPr>
        <w:spacing w:line="360" w:lineRule="auto"/>
        <w:ind w:firstLine="560" w:firstLineChars="200"/>
        <w:rPr>
          <w:rFonts w:hint="eastAsia" w:ascii="宋体" w:hAnsi="宋体"/>
          <w:sz w:val="28"/>
          <w:szCs w:val="28"/>
        </w:rPr>
      </w:pPr>
      <w:r>
        <w:rPr>
          <w:rFonts w:hint="eastAsia" w:ascii="宋体" w:hAnsi="宋体"/>
          <w:sz w:val="28"/>
          <w:szCs w:val="28"/>
        </w:rPr>
        <w:t>因建设项目拟建场地尚未进行地质初步勘察，其地质资料参考该场地附近区块地质勘察资料和现场踏看估计：</w:t>
      </w:r>
    </w:p>
    <w:p>
      <w:pPr>
        <w:spacing w:line="360" w:lineRule="auto"/>
        <w:ind w:firstLine="560" w:firstLineChars="200"/>
        <w:rPr>
          <w:rFonts w:hint="eastAsia" w:ascii="宋体" w:hAnsi="宋体"/>
          <w:sz w:val="28"/>
          <w:szCs w:val="28"/>
        </w:rPr>
      </w:pPr>
      <w:r>
        <w:rPr>
          <w:rFonts w:hint="eastAsia" w:ascii="宋体" w:hAnsi="宋体"/>
          <w:sz w:val="28"/>
          <w:szCs w:val="28"/>
        </w:rPr>
        <w:t>在本工程工作区揭落的地层主要有：</w:t>
      </w:r>
    </w:p>
    <w:p>
      <w:pPr>
        <w:spacing w:line="360" w:lineRule="auto"/>
        <w:ind w:firstLine="560" w:firstLineChars="200"/>
        <w:rPr>
          <w:rFonts w:hint="eastAsia" w:ascii="宋体" w:hAnsi="宋体"/>
          <w:sz w:val="28"/>
          <w:szCs w:val="28"/>
        </w:rPr>
      </w:pPr>
      <w:r>
        <w:rPr>
          <w:rFonts w:hint="eastAsia" w:ascii="宋体" w:hAnsi="宋体"/>
          <w:sz w:val="28"/>
          <w:szCs w:val="28"/>
        </w:rPr>
        <w:t>冲海积层、海积层、冲洪积层、坡洪积层，黄灰色粘土，可塑性状态为主，厚层状，干强度高、韧性中等，土面光滑，土质较均匀，总层厚一般2.0-10.0米。地表耕植土，灰褐色，松散状态，一般厚度为0.5M～1.0M。</w:t>
      </w:r>
    </w:p>
    <w:p>
      <w:pPr>
        <w:spacing w:line="360" w:lineRule="auto"/>
        <w:ind w:firstLine="560" w:firstLineChars="200"/>
        <w:rPr>
          <w:rFonts w:hint="eastAsia" w:ascii="宋体" w:hAnsi="宋体"/>
          <w:sz w:val="28"/>
          <w:szCs w:val="28"/>
        </w:rPr>
      </w:pPr>
      <w:r>
        <w:rPr>
          <w:rFonts w:hint="eastAsia" w:ascii="宋体" w:hAnsi="宋体"/>
          <w:sz w:val="28"/>
          <w:szCs w:val="28"/>
        </w:rPr>
        <w:t>3、气候条件</w:t>
      </w:r>
    </w:p>
    <w:p>
      <w:pPr>
        <w:spacing w:line="360" w:lineRule="auto"/>
        <w:ind w:firstLine="560" w:firstLineChars="200"/>
        <w:rPr>
          <w:rFonts w:hint="eastAsia" w:ascii="宋体" w:hAnsi="宋体"/>
          <w:sz w:val="28"/>
          <w:szCs w:val="28"/>
        </w:rPr>
      </w:pPr>
      <w:r>
        <w:rPr>
          <w:rFonts w:hint="eastAsia" w:ascii="宋体" w:hAnsi="宋体"/>
          <w:sz w:val="28"/>
          <w:szCs w:val="28"/>
        </w:rPr>
        <w:t>天台县地处浙江省东中部，气候属于亚热带季风气候区，雨量适中，温和宜人，年平均气温16.8℃，最冷月平均气温6℃，降雨量1320m，具有四季分明、降水丰富、热量充足的气候特征。又因四周山体环绕，中间低平，小区域气候特征显著，有一定的盆地气候。</w:t>
      </w:r>
    </w:p>
    <w:p>
      <w:pPr>
        <w:spacing w:line="360" w:lineRule="auto"/>
        <w:ind w:firstLine="560" w:firstLineChars="200"/>
        <w:rPr>
          <w:rFonts w:hint="eastAsia" w:ascii="宋体" w:hAnsi="宋体"/>
          <w:sz w:val="28"/>
          <w:szCs w:val="28"/>
        </w:rPr>
      </w:pPr>
      <w:r>
        <w:rPr>
          <w:rFonts w:hint="eastAsia" w:ascii="宋体" w:hAnsi="宋体"/>
          <w:sz w:val="28"/>
          <w:szCs w:val="28"/>
        </w:rPr>
        <w:t>春季始于3月28日，终于5月27日，计61天。气温呈波浪式回升，南北气流交替加剧，低气压及锋面活动频繁。因此，降水增多，风向多变，常出现连续低温阴雨天气。夏季始于5月28日，终于9月27日，计123天。东南海洋来的温度高、湿度大的暖湿气流增强，与北方冷空气相遇，形成阴雨连绵的“梅雨”季节。盛夏时期以晴、热、少雨为主，常出现伏旱。7-9月受热带风暴（包括台风）影响，常出现狂风暴雨。秋季：始于9月28日，终于11月27日，计61天。暖湿的气流开始衰退，常有小股冷空气侵袭，锋面活动开始增多，常形成阴雨天气。中秋以后，天气稳定，秋高气爽。冬季，始于11月28日，终于翌年3月27日，计120天。多晴朗寒冷天气。遇有强冷空气影响，会引起剧烈的降温，并伴有大风、大雪和冰冻天气。</w:t>
      </w:r>
    </w:p>
    <w:p>
      <w:pPr>
        <w:spacing w:line="360" w:lineRule="auto"/>
        <w:ind w:firstLine="560" w:firstLineChars="200"/>
        <w:rPr>
          <w:rFonts w:hint="eastAsia" w:ascii="宋体" w:hAnsi="宋体"/>
          <w:sz w:val="28"/>
          <w:szCs w:val="28"/>
        </w:rPr>
      </w:pPr>
      <w:r>
        <w:rPr>
          <w:rFonts w:hint="eastAsia" w:ascii="宋体" w:hAnsi="宋体"/>
          <w:sz w:val="28"/>
          <w:szCs w:val="28"/>
        </w:rPr>
        <w:t>4、水文特征</w:t>
      </w:r>
    </w:p>
    <w:p>
      <w:pPr>
        <w:spacing w:line="360" w:lineRule="auto"/>
        <w:ind w:firstLine="560" w:firstLineChars="200"/>
        <w:rPr>
          <w:rFonts w:hint="eastAsia" w:ascii="宋体" w:hAnsi="宋体"/>
          <w:sz w:val="28"/>
          <w:szCs w:val="28"/>
        </w:rPr>
      </w:pPr>
      <w:r>
        <w:rPr>
          <w:rFonts w:hint="eastAsia" w:ascii="宋体" w:hAnsi="宋体"/>
          <w:sz w:val="28"/>
          <w:szCs w:val="28"/>
        </w:rPr>
        <w:t>天台县溪流分属椒江、曹娥江、白溪、清溪、珠游溪5个水系。始丰溪贯穿天台盆地，全长132.7公里（境内长68.5公里），流域面积1610平方公里（境内流域面积1111.54平方公里）。境内支流40多条，其中三茅溪主流长26.5公里，流域面积157.5平方公里；苍山溪主流长22公里，流域面积163平方公里。</w:t>
      </w:r>
    </w:p>
    <w:p>
      <w:pPr>
        <w:spacing w:line="360" w:lineRule="auto"/>
        <w:ind w:firstLine="560" w:firstLineChars="200"/>
        <w:rPr>
          <w:rFonts w:hint="eastAsia" w:ascii="宋体" w:hAnsi="宋体"/>
          <w:sz w:val="28"/>
          <w:szCs w:val="28"/>
        </w:rPr>
      </w:pPr>
      <w:r>
        <w:rPr>
          <w:rFonts w:hint="eastAsia" w:ascii="宋体" w:hAnsi="宋体"/>
          <w:sz w:val="28"/>
          <w:szCs w:val="28"/>
        </w:rPr>
        <w:t>场地地下水以浅层孔隙潜水为主，埋藏不深，地下水位主要受大气压降水的影响较大。场地附近未见污染源，根据区域水文资料和当地建筑经验可以判断。场地地下水对混凝土无腐蚀性，对钢筋混凝土中的钢筋具有弱腐蚀性</w:t>
      </w:r>
      <w:r>
        <w:rPr>
          <w:rFonts w:hint="eastAsia"/>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5、地形地貌</w:t>
      </w:r>
    </w:p>
    <w:p>
      <w:pPr>
        <w:spacing w:line="360" w:lineRule="auto"/>
        <w:ind w:firstLine="560" w:firstLineChars="200"/>
        <w:rPr>
          <w:rFonts w:hint="eastAsia" w:ascii="宋体" w:hAnsi="宋体"/>
          <w:sz w:val="28"/>
          <w:szCs w:val="28"/>
        </w:rPr>
      </w:pPr>
      <w:r>
        <w:rPr>
          <w:rFonts w:hint="eastAsia" w:ascii="宋体" w:hAnsi="宋体"/>
          <w:sz w:val="28"/>
          <w:szCs w:val="28"/>
        </w:rPr>
        <w:t>天台山脉由县西向东北蜿蜒，西南绵亘大雷山脉，形成四面环山中部较为平坦的丘陵盆地。东部最高的苍山顶海拔1113米，北部华顶山海拔1110米。始丰溪两岸河谷平原海拔50-120米。天台盆地呈三角形，低山和丘陵占全县总面积81%，河谷平原和台地占19%。</w:t>
      </w:r>
    </w:p>
    <w:p>
      <w:pPr>
        <w:spacing w:line="360" w:lineRule="auto"/>
        <w:ind w:firstLine="560" w:firstLineChars="200"/>
        <w:rPr>
          <w:rFonts w:hint="eastAsia" w:ascii="宋体" w:hAnsi="宋体"/>
          <w:sz w:val="28"/>
          <w:szCs w:val="28"/>
        </w:rPr>
      </w:pPr>
      <w:r>
        <w:rPr>
          <w:rFonts w:hint="eastAsia" w:ascii="宋体" w:hAnsi="宋体"/>
          <w:sz w:val="28"/>
          <w:szCs w:val="28"/>
        </w:rPr>
        <w:t>6、经济社会发展条件</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十一五”期间，天台县生产总值由2005年的62.13亿元增长到2010年的118.62亿元，年均增长11.3%；财政总收入从2005年的7.7亿元增加到14.01亿元，年均增长12.7%；地方财政收入从2005年的3.75亿元增加到7.81亿元，年均增长15.8%；六大工业园区（功能区）初具规模，已建成园区面积达到9000亩，新增开发面积5000亩、入园企业180家；工“百项千万”工程进展顺利，西门子、玉柴三立、天申铜业等一批重大项目相继落户我县，完成制造业投资98亿元；“五十强”工程大力推进，新增规模上企业182家、上亿元企业23家，银轮公司顺利上市、产值突破10亿元；自主创新不断增强，高新技术企业达到21家，新增国家级技术创新项目29个，新增中国名牌1个、驰名商标2个，被评为中国商标百强县。</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农业产业化步伐加快，大力推进“特色产业强县、强镇（乡）、强村”建设，被评为浙江省中药材强县、中国名茶之乡、中国茶文化之乡，“石梁牌”、“天台山牌”等农产品品牌进一步打响，全县农业龙头企业达到78家、各级农民专业合作社达到406家。旅游产业迅速发展，新开发琼台仙谷、龙山天湖、龙穿峡、济公故居等景区（点），引进了绿城•天台山旅游综合开发等一批旅游重大项目，桐柏宫修复等一批旅游宗教重点工程进展顺利，温泉山庄、赤城宾馆二期等一批高星级宾馆相继开工，举办了“5.20”天台山旅游日、济公文化节、天台山云锦杜鹃节、天台山•石梁避暑节等重大节庆活动，天台山知名度进一步扩大，成功创建浙江省旅游经济强县。全县金融保险、商贸物流、房地产等现代服务业快速发展，五年累计实现社会消费品零售总额193.6亿元，年均增长15.2%。</w:t>
      </w:r>
    </w:p>
    <w:p>
      <w:pPr>
        <w:adjustRightInd w:val="0"/>
        <w:spacing w:line="360" w:lineRule="auto"/>
        <w:ind w:firstLine="560" w:firstLineChars="200"/>
        <w:rPr>
          <w:rFonts w:ascii="宋体" w:hAnsi="宋体"/>
          <w:sz w:val="28"/>
          <w:szCs w:val="28"/>
        </w:rPr>
      </w:pPr>
      <w:r>
        <w:rPr>
          <w:rFonts w:hint="eastAsia" w:ascii="宋体" w:hAnsi="宋体"/>
          <w:sz w:val="28"/>
          <w:szCs w:val="28"/>
        </w:rPr>
        <w:t>全县工业经济持续向好，实现规模上工业产值158.07亿元，同比增长31.2%，新增产值上亿元企业6家。深入实施“工业平台建设年”活动，六大工业功能区建设大力推进，完成园区建设总投入11亿元。“百项千万”工程成效明显，40个项目建成投产，玉柴三立项目曲轴生产线即将投产，天申铜业项目完成主体工程。企业上市步伐加快，5家企业开展上市实质性运作，其中天成自控、永贵电器完成股份制改造。自主创新能力不断提升，新增高新技术企业6家、国家级科技项目12项，成功举办县第二届科技人才周活动。品牌建设取得新进展，“银轮”商标荣获中国驰名商标，坦头汽车用品基地被评为浙江省十大专业商标品牌示范基地。外向型经济大力推进，完成全社会出口交货值72.6亿元，同比增长8.8%，自营出口4.4亿美元，增长28.8%；全年实际利用外资597.3万美元、引进内资4.7亿元。</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7、基础配套设施条件</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该项目位于天台县赤城街道天桐路东侧，材料设备运输和施工也比较方便</w:t>
      </w:r>
      <w:r>
        <w:rPr>
          <w:rFonts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8、施工条件</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项目所需石渣、水泥、砂、碎石、钢材、给排水管材等材料本地均可采购，而且资源比较丰富，运距在 20 公里内。</w:t>
      </w:r>
    </w:p>
    <w:p>
      <w:pPr>
        <w:spacing w:line="360" w:lineRule="auto"/>
        <w:jc w:val="center"/>
        <w:outlineLvl w:val="0"/>
        <w:rPr>
          <w:rFonts w:hint="eastAsia" w:ascii="宋体" w:hAnsi="宋体"/>
          <w:b/>
          <w:sz w:val="52"/>
          <w:szCs w:val="52"/>
        </w:rPr>
      </w:pPr>
      <w:r>
        <w:rPr>
          <w:rFonts w:ascii="宋体" w:hAnsi="宋体"/>
          <w:b/>
          <w:sz w:val="30"/>
          <w:szCs w:val="30"/>
        </w:rPr>
        <w:br w:type="page"/>
      </w:r>
      <w:bookmarkStart w:id="12" w:name="_Toc496105199"/>
      <w:r>
        <w:rPr>
          <w:rFonts w:hint="eastAsia" w:ascii="宋体" w:hAnsi="宋体"/>
          <w:b/>
          <w:sz w:val="52"/>
          <w:szCs w:val="52"/>
        </w:rPr>
        <w:t>第五节   总体建设方案</w:t>
      </w:r>
      <w:bookmarkEnd w:id="12"/>
    </w:p>
    <w:p>
      <w:pPr>
        <w:spacing w:line="360" w:lineRule="auto"/>
        <w:ind w:firstLine="562" w:firstLineChars="200"/>
        <w:outlineLvl w:val="1"/>
        <w:rPr>
          <w:rFonts w:hint="eastAsia" w:ascii="宋体" w:hAnsi="宋体"/>
          <w:b/>
          <w:sz w:val="28"/>
          <w:szCs w:val="28"/>
        </w:rPr>
      </w:pPr>
      <w:bookmarkStart w:id="13" w:name="_Toc395595617"/>
      <w:bookmarkStart w:id="14" w:name="_Toc496105200"/>
      <w:r>
        <w:rPr>
          <w:rFonts w:hint="eastAsia" w:ascii="宋体" w:hAnsi="宋体"/>
          <w:b/>
          <w:sz w:val="28"/>
          <w:szCs w:val="28"/>
        </w:rPr>
        <w:t>一、建设设计指导思想与原则及设计依据</w:t>
      </w:r>
      <w:bookmarkEnd w:id="13"/>
      <w:bookmarkEnd w:id="14"/>
    </w:p>
    <w:p>
      <w:pPr>
        <w:spacing w:line="360" w:lineRule="auto"/>
        <w:ind w:firstLine="560" w:firstLineChars="200"/>
        <w:rPr>
          <w:rFonts w:hint="eastAsia" w:ascii="宋体" w:hAnsi="宋体"/>
          <w:sz w:val="28"/>
          <w:szCs w:val="28"/>
        </w:rPr>
      </w:pPr>
      <w:r>
        <w:rPr>
          <w:rFonts w:hint="eastAsia" w:ascii="宋体" w:hAnsi="宋体"/>
          <w:sz w:val="28"/>
          <w:szCs w:val="28"/>
        </w:rPr>
        <w:t>1、建设设计指导思想与原则</w:t>
      </w:r>
    </w:p>
    <w:p>
      <w:pPr>
        <w:spacing w:line="360" w:lineRule="auto"/>
        <w:ind w:firstLine="560" w:firstLineChars="200"/>
        <w:rPr>
          <w:rFonts w:hint="eastAsia" w:ascii="宋体" w:hAnsi="宋体"/>
          <w:sz w:val="28"/>
          <w:szCs w:val="28"/>
        </w:rPr>
      </w:pPr>
      <w:r>
        <w:rPr>
          <w:rFonts w:hint="eastAsia" w:ascii="宋体" w:hAnsi="宋体"/>
          <w:sz w:val="28"/>
          <w:szCs w:val="28"/>
        </w:rPr>
        <w:t>①方案设计应遵循国家现行有关规范和要求，在满足总体规划的前提下，充分考虑平面布局的灵活性和变通性，最大限度地满足各种使用功能的要求。</w:t>
      </w:r>
    </w:p>
    <w:p>
      <w:pPr>
        <w:spacing w:line="360" w:lineRule="auto"/>
        <w:ind w:firstLine="560" w:firstLineChars="200"/>
        <w:rPr>
          <w:rFonts w:hint="eastAsia" w:ascii="宋体" w:hAnsi="宋体"/>
          <w:sz w:val="28"/>
          <w:szCs w:val="28"/>
        </w:rPr>
      </w:pPr>
      <w:r>
        <w:rPr>
          <w:rFonts w:hint="eastAsia" w:ascii="宋体" w:hAnsi="宋体"/>
          <w:sz w:val="28"/>
          <w:szCs w:val="28"/>
        </w:rPr>
        <w:t>②充分利用自然地形、地貌，依托天台县悠长的历史文化渊源，根据地形及地质条件，因地制宜地有机组织建筑空间布局，使建筑与绿化环境自然地融合在一起，创造人文与自然和谐一体的校园环境。</w:t>
      </w:r>
    </w:p>
    <w:p>
      <w:pPr>
        <w:spacing w:line="360" w:lineRule="auto"/>
        <w:ind w:firstLine="560" w:firstLineChars="200"/>
        <w:rPr>
          <w:rFonts w:hint="eastAsia" w:ascii="宋体" w:hAnsi="宋体"/>
          <w:sz w:val="28"/>
          <w:szCs w:val="28"/>
        </w:rPr>
      </w:pPr>
      <w:r>
        <w:rPr>
          <w:rFonts w:hint="eastAsia" w:ascii="宋体" w:hAnsi="宋体"/>
          <w:sz w:val="28"/>
          <w:szCs w:val="28"/>
        </w:rPr>
        <w:t>③注重建筑与原校园空间环境的设计的搭配，为师生提供不同层次、不同形式的交往聚合场所和活动空间。</w:t>
      </w:r>
    </w:p>
    <w:p>
      <w:pPr>
        <w:spacing w:line="360" w:lineRule="auto"/>
        <w:ind w:firstLine="560" w:firstLineChars="200"/>
        <w:rPr>
          <w:rFonts w:hint="eastAsia" w:ascii="宋体" w:hAnsi="宋体"/>
          <w:sz w:val="28"/>
          <w:szCs w:val="28"/>
        </w:rPr>
      </w:pPr>
      <w:r>
        <w:rPr>
          <w:rFonts w:hint="eastAsia" w:ascii="宋体" w:hAnsi="宋体"/>
          <w:sz w:val="28"/>
          <w:szCs w:val="28"/>
        </w:rPr>
        <w:t>④场址内交通组织，应坚持功能适用性原则，满足快速反映需要，重点做好内部交通组织和安全疏散的原则。</w:t>
      </w:r>
    </w:p>
    <w:p>
      <w:pPr>
        <w:spacing w:line="360" w:lineRule="auto"/>
        <w:ind w:firstLine="560" w:firstLineChars="200"/>
        <w:rPr>
          <w:rFonts w:hint="eastAsia" w:ascii="宋体" w:hAnsi="宋体"/>
          <w:sz w:val="28"/>
          <w:szCs w:val="28"/>
        </w:rPr>
      </w:pPr>
      <w:r>
        <w:rPr>
          <w:rFonts w:hint="eastAsia" w:ascii="宋体" w:hAnsi="宋体"/>
          <w:sz w:val="28"/>
          <w:szCs w:val="28"/>
        </w:rPr>
        <w:t>⑤除特殊要求的房间，全部采用自然采光和通风，做适当的隔声处理，以保持安静的教学、办公环境。</w:t>
      </w:r>
    </w:p>
    <w:p>
      <w:pPr>
        <w:spacing w:line="360" w:lineRule="auto"/>
        <w:ind w:firstLine="560" w:firstLineChars="200"/>
        <w:rPr>
          <w:rFonts w:hint="eastAsia" w:ascii="宋体" w:hAnsi="宋体"/>
          <w:sz w:val="28"/>
          <w:szCs w:val="28"/>
        </w:rPr>
      </w:pPr>
      <w:r>
        <w:rPr>
          <w:rFonts w:hint="eastAsia" w:ascii="宋体" w:hAnsi="宋体"/>
          <w:sz w:val="28"/>
          <w:szCs w:val="28"/>
        </w:rPr>
        <w:t>⑥严格执行国家有关防火等设计规范，从设计中消除火灾等安全隐患。</w:t>
      </w:r>
    </w:p>
    <w:p>
      <w:pPr>
        <w:spacing w:line="360" w:lineRule="auto"/>
        <w:ind w:firstLine="560" w:firstLineChars="200"/>
        <w:rPr>
          <w:rFonts w:hint="eastAsia" w:ascii="宋体" w:hAnsi="宋体"/>
          <w:sz w:val="28"/>
          <w:szCs w:val="28"/>
        </w:rPr>
      </w:pPr>
      <w:r>
        <w:rPr>
          <w:rFonts w:hint="eastAsia" w:ascii="宋体" w:hAnsi="宋体"/>
          <w:sz w:val="28"/>
          <w:szCs w:val="28"/>
        </w:rPr>
        <w:t>⑦注重节能设计，从热、电、水等方面入手，充分考虑资源的节约利用。</w:t>
      </w:r>
    </w:p>
    <w:p>
      <w:pPr>
        <w:spacing w:line="360" w:lineRule="auto"/>
        <w:ind w:firstLine="560" w:firstLineChars="200"/>
        <w:rPr>
          <w:rFonts w:hint="eastAsia" w:ascii="宋体" w:hAnsi="宋体"/>
          <w:sz w:val="28"/>
          <w:szCs w:val="28"/>
        </w:rPr>
      </w:pPr>
      <w:r>
        <w:rPr>
          <w:rFonts w:hint="eastAsia" w:ascii="宋体" w:hAnsi="宋体"/>
          <w:sz w:val="28"/>
          <w:szCs w:val="28"/>
        </w:rPr>
        <w:t>⑧方案设计应符合当地城市规划的要求，根据城市规划确定的建筑容积率核算建设用地面积，并应符合当地城市绿化面积指标的规定。</w:t>
      </w:r>
    </w:p>
    <w:p>
      <w:pPr>
        <w:spacing w:line="360" w:lineRule="auto"/>
        <w:ind w:firstLine="560" w:firstLineChars="200"/>
        <w:rPr>
          <w:rFonts w:hint="eastAsia" w:ascii="宋体" w:hAnsi="宋体"/>
          <w:sz w:val="28"/>
          <w:szCs w:val="28"/>
        </w:rPr>
      </w:pPr>
      <w:r>
        <w:rPr>
          <w:rFonts w:hint="eastAsia" w:ascii="宋体" w:hAnsi="宋体"/>
          <w:sz w:val="28"/>
          <w:szCs w:val="28"/>
        </w:rPr>
        <w:t>⑨建筑造型上突出时代感，着重表现历史与现代的结合。形体组合上体现历史文化及地方特色，使建筑个性鲜明，富有校园气息。</w:t>
      </w:r>
    </w:p>
    <w:p>
      <w:pPr>
        <w:spacing w:line="360" w:lineRule="auto"/>
        <w:ind w:firstLine="560" w:firstLineChars="200"/>
        <w:rPr>
          <w:rFonts w:hint="eastAsia" w:ascii="宋体" w:hAnsi="宋体"/>
          <w:sz w:val="28"/>
          <w:szCs w:val="28"/>
        </w:rPr>
      </w:pPr>
      <w:r>
        <w:rPr>
          <w:rFonts w:hint="eastAsia" w:ascii="宋体" w:hAnsi="宋体"/>
          <w:sz w:val="28"/>
          <w:szCs w:val="28"/>
        </w:rPr>
        <w:t>⑩结构方案做到经济合理，在设备和建筑材料的选用上，应兼顾美观可靠，又经济节能，合理布置消防安全设施。</w:t>
      </w:r>
    </w:p>
    <w:p>
      <w:pPr>
        <w:spacing w:line="360" w:lineRule="auto"/>
        <w:ind w:firstLine="560" w:firstLineChars="200"/>
        <w:rPr>
          <w:rFonts w:hint="eastAsia" w:ascii="宋体" w:hAnsi="宋体"/>
          <w:sz w:val="28"/>
          <w:szCs w:val="28"/>
        </w:rPr>
      </w:pPr>
      <w:r>
        <w:rPr>
          <w:rFonts w:hint="eastAsia" w:ascii="宋体" w:hAnsi="宋体"/>
          <w:sz w:val="28"/>
          <w:szCs w:val="28"/>
        </w:rPr>
        <w:t>2、设计依据</w:t>
      </w:r>
    </w:p>
    <w:p>
      <w:pPr>
        <w:spacing w:line="360" w:lineRule="auto"/>
        <w:ind w:firstLine="560" w:firstLineChars="200"/>
        <w:rPr>
          <w:rFonts w:hint="eastAsia" w:ascii="宋体" w:hAnsi="宋体"/>
          <w:sz w:val="28"/>
          <w:szCs w:val="28"/>
        </w:rPr>
      </w:pPr>
      <w:r>
        <w:rPr>
          <w:rFonts w:hint="eastAsia" w:ascii="宋体" w:hAnsi="宋体"/>
          <w:sz w:val="28"/>
          <w:szCs w:val="28"/>
        </w:rPr>
        <w:t>①该工程的总平面布置图</w:t>
      </w:r>
    </w:p>
    <w:p>
      <w:pPr>
        <w:spacing w:line="360" w:lineRule="auto"/>
        <w:ind w:firstLine="560" w:firstLineChars="200"/>
        <w:rPr>
          <w:rFonts w:hint="eastAsia" w:ascii="宋体" w:hAnsi="宋体"/>
          <w:sz w:val="28"/>
          <w:szCs w:val="28"/>
        </w:rPr>
      </w:pPr>
      <w:r>
        <w:rPr>
          <w:rFonts w:hint="eastAsia" w:ascii="宋体" w:hAnsi="宋体"/>
          <w:sz w:val="28"/>
          <w:szCs w:val="28"/>
        </w:rPr>
        <w:t>②《民用建筑设计通则》GB50352-2005</w:t>
      </w:r>
    </w:p>
    <w:p>
      <w:pPr>
        <w:spacing w:line="360" w:lineRule="auto"/>
        <w:ind w:firstLine="560" w:firstLineChars="200"/>
        <w:rPr>
          <w:rFonts w:hint="eastAsia" w:ascii="宋体" w:hAnsi="宋体"/>
          <w:sz w:val="28"/>
          <w:szCs w:val="28"/>
        </w:rPr>
      </w:pPr>
      <w:r>
        <w:rPr>
          <w:rFonts w:hint="eastAsia" w:ascii="宋体" w:hAnsi="宋体"/>
          <w:sz w:val="28"/>
          <w:szCs w:val="28"/>
        </w:rPr>
        <w:t>③《办公建筑设计规范》JGJ67-2006</w:t>
      </w:r>
    </w:p>
    <w:p>
      <w:pPr>
        <w:spacing w:line="360" w:lineRule="auto"/>
        <w:ind w:firstLine="560" w:firstLineChars="200"/>
        <w:rPr>
          <w:rFonts w:hint="eastAsia" w:ascii="宋体" w:hAnsi="宋体"/>
          <w:sz w:val="28"/>
          <w:szCs w:val="28"/>
        </w:rPr>
      </w:pPr>
      <w:r>
        <w:rPr>
          <w:rFonts w:hint="eastAsia" w:ascii="宋体" w:hAnsi="宋体"/>
          <w:sz w:val="28"/>
          <w:szCs w:val="28"/>
        </w:rPr>
        <w:t>④《建筑设计防火规范》GB50016-2006</w:t>
      </w:r>
    </w:p>
    <w:p>
      <w:pPr>
        <w:spacing w:line="360" w:lineRule="auto"/>
        <w:ind w:firstLine="560" w:firstLineChars="200"/>
        <w:rPr>
          <w:rFonts w:hint="eastAsia" w:ascii="宋体" w:hAnsi="宋体"/>
          <w:b/>
          <w:sz w:val="28"/>
          <w:szCs w:val="28"/>
        </w:rPr>
      </w:pPr>
      <w:r>
        <w:rPr>
          <w:rFonts w:hint="eastAsia" w:ascii="宋体" w:hAnsi="宋体"/>
          <w:sz w:val="28"/>
          <w:szCs w:val="28"/>
        </w:rPr>
        <w:t>⑤《</w:t>
      </w:r>
      <w:r>
        <w:rPr>
          <w:rFonts w:hint="eastAsia" w:ascii="宋体" w:hAnsi="宋体"/>
          <w:bCs/>
          <w:sz w:val="28"/>
          <w:szCs w:val="28"/>
        </w:rPr>
        <w:t>中小学建筑设计规范</w:t>
      </w:r>
      <w:r>
        <w:rPr>
          <w:rFonts w:hint="eastAsia" w:ascii="宋体" w:hAnsi="宋体"/>
          <w:sz w:val="28"/>
          <w:szCs w:val="28"/>
        </w:rPr>
        <w:t>》</w:t>
      </w:r>
      <w:r>
        <w:rPr>
          <w:rFonts w:ascii="宋体" w:hAnsi="宋体"/>
          <w:sz w:val="28"/>
          <w:szCs w:val="28"/>
        </w:rPr>
        <w:t> </w:t>
      </w:r>
      <w:r>
        <w:rPr>
          <w:rFonts w:hint="eastAsia" w:ascii="宋体" w:hAnsi="宋体"/>
          <w:bCs/>
          <w:sz w:val="28"/>
          <w:szCs w:val="28"/>
        </w:rPr>
        <w:t>GB50099-2011</w:t>
      </w:r>
    </w:p>
    <w:p>
      <w:pPr>
        <w:spacing w:line="360" w:lineRule="auto"/>
        <w:ind w:firstLine="560" w:firstLineChars="200"/>
        <w:rPr>
          <w:rFonts w:hint="eastAsia" w:ascii="宋体" w:hAnsi="宋体"/>
          <w:sz w:val="28"/>
          <w:szCs w:val="28"/>
        </w:rPr>
      </w:pPr>
      <w:r>
        <w:rPr>
          <w:rFonts w:hint="eastAsia" w:ascii="宋体" w:hAnsi="宋体"/>
          <w:sz w:val="28"/>
          <w:szCs w:val="28"/>
        </w:rPr>
        <w:t>⑥《建筑结构荷载规范》GB50009-2001（2006版）</w:t>
      </w:r>
    </w:p>
    <w:p>
      <w:pPr>
        <w:spacing w:line="360" w:lineRule="auto"/>
        <w:ind w:firstLine="560" w:firstLineChars="200"/>
        <w:rPr>
          <w:rFonts w:hint="eastAsia" w:ascii="宋体" w:hAnsi="宋体"/>
          <w:sz w:val="28"/>
          <w:szCs w:val="28"/>
        </w:rPr>
      </w:pPr>
      <w:r>
        <w:rPr>
          <w:rFonts w:hint="eastAsia" w:ascii="宋体" w:hAnsi="宋体"/>
          <w:sz w:val="28"/>
          <w:szCs w:val="28"/>
        </w:rPr>
        <w:t>⑦《砼结构设计规范》GB50010-2010</w:t>
      </w:r>
    </w:p>
    <w:p>
      <w:pPr>
        <w:spacing w:line="360" w:lineRule="auto"/>
        <w:ind w:firstLine="560" w:firstLineChars="200"/>
        <w:rPr>
          <w:rFonts w:hint="eastAsia" w:ascii="宋体" w:hAnsi="宋体"/>
          <w:sz w:val="28"/>
          <w:szCs w:val="28"/>
        </w:rPr>
      </w:pPr>
      <w:r>
        <w:rPr>
          <w:rFonts w:hint="eastAsia" w:ascii="宋体" w:hAnsi="宋体"/>
          <w:sz w:val="28"/>
          <w:szCs w:val="28"/>
        </w:rPr>
        <w:t>⑧《建筑地基基础设计规范》GB50007-2002</w:t>
      </w:r>
    </w:p>
    <w:p>
      <w:pPr>
        <w:spacing w:line="360" w:lineRule="auto"/>
        <w:ind w:firstLine="560" w:firstLineChars="200"/>
        <w:rPr>
          <w:rFonts w:hint="eastAsia" w:ascii="宋体" w:hAnsi="宋体"/>
          <w:sz w:val="28"/>
          <w:szCs w:val="28"/>
        </w:rPr>
      </w:pPr>
      <w:r>
        <w:rPr>
          <w:rFonts w:hint="eastAsia" w:ascii="宋体" w:hAnsi="宋体"/>
          <w:sz w:val="28"/>
          <w:szCs w:val="28"/>
        </w:rPr>
        <w:t>⑨《建筑桩基技术规范》JGJ94-2008</w:t>
      </w:r>
    </w:p>
    <w:p>
      <w:pPr>
        <w:spacing w:line="360" w:lineRule="auto"/>
        <w:ind w:firstLine="560" w:firstLineChars="200"/>
        <w:rPr>
          <w:rFonts w:hint="eastAsia" w:ascii="宋体" w:hAnsi="宋体"/>
          <w:sz w:val="28"/>
          <w:szCs w:val="28"/>
        </w:rPr>
      </w:pPr>
      <w:r>
        <w:rPr>
          <w:rFonts w:hint="eastAsia" w:ascii="宋体" w:hAnsi="宋体"/>
          <w:sz w:val="28"/>
          <w:szCs w:val="28"/>
        </w:rPr>
        <w:t>⑩《砌体结构设计规范》GB50003-2011</w:t>
      </w:r>
    </w:p>
    <w:p>
      <w:pPr>
        <w:spacing w:line="360" w:lineRule="auto"/>
        <w:ind w:firstLine="562" w:firstLineChars="200"/>
        <w:outlineLvl w:val="1"/>
        <w:rPr>
          <w:rFonts w:hint="eastAsia" w:ascii="宋体" w:hAnsi="宋体"/>
          <w:b/>
          <w:sz w:val="28"/>
          <w:szCs w:val="28"/>
        </w:rPr>
      </w:pPr>
      <w:bookmarkStart w:id="15" w:name="_Toc395595618"/>
      <w:bookmarkStart w:id="16" w:name="_Toc496105201"/>
      <w:bookmarkStart w:id="17" w:name="_Toc394610033"/>
      <w:r>
        <w:rPr>
          <w:rFonts w:hint="eastAsia" w:ascii="宋体" w:hAnsi="宋体"/>
          <w:b/>
          <w:sz w:val="28"/>
          <w:szCs w:val="28"/>
        </w:rPr>
        <w:t>二、具体方案设计</w:t>
      </w:r>
      <w:bookmarkEnd w:id="15"/>
      <w:bookmarkEnd w:id="16"/>
    </w:p>
    <w:p>
      <w:pPr>
        <w:spacing w:line="360" w:lineRule="auto"/>
        <w:ind w:firstLine="560" w:firstLineChars="200"/>
        <w:rPr>
          <w:rFonts w:hint="eastAsia" w:ascii="宋体" w:hAnsi="宋体"/>
          <w:sz w:val="28"/>
          <w:szCs w:val="28"/>
        </w:rPr>
      </w:pPr>
      <w:r>
        <w:rPr>
          <w:rFonts w:hint="eastAsia" w:ascii="宋体" w:hAnsi="宋体"/>
          <w:sz w:val="28"/>
          <w:szCs w:val="28"/>
        </w:rPr>
        <w:t>1、总平面设计</w:t>
      </w:r>
    </w:p>
    <w:p>
      <w:pPr>
        <w:spacing w:line="360" w:lineRule="auto"/>
        <w:ind w:firstLine="560" w:firstLineChars="200"/>
        <w:rPr>
          <w:rFonts w:hint="eastAsia" w:ascii="宋体" w:hAnsi="宋体"/>
          <w:sz w:val="28"/>
          <w:szCs w:val="28"/>
        </w:rPr>
      </w:pPr>
      <w:r>
        <w:rPr>
          <w:rFonts w:hint="eastAsia" w:ascii="宋体" w:hAnsi="宋体"/>
          <w:sz w:val="28"/>
          <w:szCs w:val="28"/>
        </w:rPr>
        <w:t>1.1建筑平面布局</w:t>
      </w:r>
    </w:p>
    <w:p>
      <w:pPr>
        <w:spacing w:line="360" w:lineRule="auto"/>
        <w:ind w:firstLine="560" w:firstLineChars="200"/>
        <w:rPr>
          <w:rFonts w:hint="eastAsia" w:ascii="宋体" w:hAnsi="宋体"/>
          <w:sz w:val="28"/>
          <w:szCs w:val="28"/>
        </w:rPr>
      </w:pPr>
      <w:r>
        <w:rPr>
          <w:rFonts w:hint="eastAsia" w:ascii="宋体" w:hAnsi="宋体"/>
          <w:sz w:val="28"/>
          <w:szCs w:val="28"/>
        </w:rPr>
        <w:t>学校建筑分布布局应结合项目建设地址处于山坡地上的实际情况，充分利用地型，注重与周边地形的衔接以及民居建筑色彩的协调。考虑拟建项目分多个独立使用功能，拟在规划红线范围内建设一所净占地面积19001㎡、建筑面积13100㎡的小学。</w:t>
      </w:r>
    </w:p>
    <w:p>
      <w:pPr>
        <w:spacing w:line="360" w:lineRule="auto"/>
        <w:ind w:firstLine="560" w:firstLineChars="200"/>
        <w:rPr>
          <w:rFonts w:hint="eastAsia" w:ascii="宋体" w:hAnsi="宋体"/>
          <w:sz w:val="28"/>
          <w:szCs w:val="28"/>
        </w:rPr>
      </w:pPr>
      <w:r>
        <w:rPr>
          <w:rFonts w:hint="eastAsia" w:ascii="宋体" w:hAnsi="宋体"/>
          <w:sz w:val="28"/>
          <w:szCs w:val="28"/>
        </w:rPr>
        <w:t>1.2交通流线布置</w:t>
      </w:r>
    </w:p>
    <w:p>
      <w:pPr>
        <w:spacing w:line="360" w:lineRule="auto"/>
        <w:ind w:firstLine="560" w:firstLineChars="200"/>
        <w:rPr>
          <w:rFonts w:hint="eastAsia" w:ascii="宋体" w:hAnsi="宋体"/>
          <w:sz w:val="28"/>
          <w:szCs w:val="28"/>
        </w:rPr>
      </w:pPr>
      <w:r>
        <w:rPr>
          <w:rFonts w:hint="eastAsia" w:ascii="宋体" w:hAnsi="宋体"/>
          <w:sz w:val="28"/>
          <w:szCs w:val="28"/>
        </w:rPr>
        <w:t>由于拟建建筑使用功能的划分，交通流线考虑分对外交通和对内交通布置。</w:t>
      </w:r>
    </w:p>
    <w:p>
      <w:pPr>
        <w:spacing w:line="360" w:lineRule="auto"/>
        <w:ind w:firstLine="560" w:firstLineChars="200"/>
        <w:rPr>
          <w:rFonts w:hint="eastAsia" w:ascii="宋体" w:hAnsi="宋体"/>
          <w:sz w:val="28"/>
          <w:szCs w:val="28"/>
        </w:rPr>
      </w:pPr>
      <w:r>
        <w:rPr>
          <w:rFonts w:hint="eastAsia" w:ascii="宋体" w:hAnsi="宋体"/>
          <w:sz w:val="28"/>
          <w:szCs w:val="28"/>
        </w:rPr>
        <w:t>对外交通：利用学校大门。</w:t>
      </w:r>
    </w:p>
    <w:p>
      <w:pPr>
        <w:spacing w:line="360" w:lineRule="auto"/>
        <w:ind w:firstLine="560" w:firstLineChars="200"/>
        <w:rPr>
          <w:rFonts w:hint="eastAsia" w:ascii="宋体" w:hAnsi="宋体"/>
          <w:sz w:val="28"/>
          <w:szCs w:val="28"/>
        </w:rPr>
      </w:pPr>
      <w:r>
        <w:rPr>
          <w:rFonts w:hint="eastAsia" w:ascii="宋体" w:hAnsi="宋体"/>
          <w:sz w:val="28"/>
          <w:szCs w:val="28"/>
        </w:rPr>
        <w:t>对内交通：每栋楼垂直联系设楼梯，分别设在建筑物的内部的端头。</w:t>
      </w:r>
    </w:p>
    <w:p>
      <w:pPr>
        <w:spacing w:line="360" w:lineRule="auto"/>
        <w:ind w:firstLine="560" w:firstLineChars="200"/>
        <w:rPr>
          <w:rFonts w:hint="eastAsia" w:ascii="宋体" w:hAnsi="宋体"/>
          <w:sz w:val="28"/>
          <w:szCs w:val="28"/>
        </w:rPr>
      </w:pPr>
      <w:r>
        <w:rPr>
          <w:rFonts w:hint="eastAsia" w:ascii="宋体" w:hAnsi="宋体"/>
          <w:sz w:val="28"/>
          <w:szCs w:val="28"/>
        </w:rPr>
        <w:t>1.3景观绿化布置</w:t>
      </w:r>
    </w:p>
    <w:p>
      <w:pPr>
        <w:spacing w:line="360" w:lineRule="auto"/>
        <w:ind w:firstLine="560" w:firstLineChars="200"/>
        <w:rPr>
          <w:rFonts w:hint="eastAsia" w:ascii="宋体" w:hAnsi="宋体"/>
          <w:sz w:val="28"/>
          <w:szCs w:val="28"/>
        </w:rPr>
      </w:pPr>
      <w:r>
        <w:rPr>
          <w:rFonts w:hint="eastAsia" w:ascii="宋体" w:hAnsi="宋体"/>
          <w:sz w:val="28"/>
          <w:szCs w:val="28"/>
        </w:rPr>
        <w:t xml:space="preserve">考虑小学学校的特点，用花木和草地装扮点缀拟建建筑物的形象。 </w:t>
      </w:r>
    </w:p>
    <w:p>
      <w:pPr>
        <w:spacing w:line="360" w:lineRule="auto"/>
        <w:ind w:firstLine="560" w:firstLineChars="200"/>
        <w:rPr>
          <w:rFonts w:hint="eastAsia" w:ascii="宋体" w:hAnsi="宋体"/>
          <w:sz w:val="28"/>
          <w:szCs w:val="28"/>
        </w:rPr>
      </w:pPr>
      <w:r>
        <w:rPr>
          <w:rFonts w:hint="eastAsia" w:ascii="宋体" w:hAnsi="宋体"/>
          <w:sz w:val="28"/>
          <w:szCs w:val="28"/>
        </w:rPr>
        <w:t>2、建筑物单体设计</w:t>
      </w:r>
    </w:p>
    <w:p>
      <w:pPr>
        <w:spacing w:line="360" w:lineRule="auto"/>
        <w:ind w:firstLine="560" w:firstLineChars="200"/>
        <w:rPr>
          <w:rFonts w:hint="eastAsia" w:ascii="宋体" w:hAnsi="宋体"/>
          <w:sz w:val="28"/>
          <w:szCs w:val="28"/>
        </w:rPr>
      </w:pPr>
      <w:r>
        <w:rPr>
          <w:rFonts w:hint="eastAsia" w:ascii="宋体" w:hAnsi="宋体"/>
          <w:sz w:val="28"/>
          <w:szCs w:val="28"/>
        </w:rPr>
        <w:t>2.1安全疏散</w:t>
      </w:r>
    </w:p>
    <w:p>
      <w:pPr>
        <w:spacing w:line="360" w:lineRule="auto"/>
        <w:ind w:firstLine="560" w:firstLineChars="200"/>
        <w:rPr>
          <w:rFonts w:hint="eastAsia" w:ascii="宋体" w:hAnsi="宋体"/>
          <w:sz w:val="28"/>
          <w:szCs w:val="28"/>
        </w:rPr>
      </w:pPr>
      <w:r>
        <w:rPr>
          <w:rFonts w:hint="eastAsia" w:ascii="宋体" w:hAnsi="宋体"/>
          <w:sz w:val="28"/>
          <w:szCs w:val="28"/>
        </w:rPr>
        <w:t>建筑物主体以四层布局为主，建筑内部设双向疏散通道，每层设两部楼梯，功能明确、交通便捷、布局合理，垂直交通及安全疏散方便。在数量、疏散间距、疏散宽度上均满足建筑防火要求。</w:t>
      </w:r>
    </w:p>
    <w:p>
      <w:pPr>
        <w:spacing w:line="360" w:lineRule="auto"/>
        <w:ind w:firstLine="560" w:firstLineChars="200"/>
        <w:rPr>
          <w:rFonts w:hint="eastAsia" w:ascii="宋体" w:hAnsi="宋体"/>
          <w:sz w:val="28"/>
          <w:szCs w:val="28"/>
        </w:rPr>
      </w:pPr>
      <w:r>
        <w:rPr>
          <w:rFonts w:hint="eastAsia" w:ascii="宋体" w:hAnsi="宋体"/>
          <w:sz w:val="28"/>
          <w:szCs w:val="28"/>
        </w:rPr>
        <w:t>2.2立面造型</w:t>
      </w:r>
    </w:p>
    <w:p>
      <w:pPr>
        <w:spacing w:line="360" w:lineRule="auto"/>
        <w:ind w:firstLine="560" w:firstLineChars="200"/>
        <w:rPr>
          <w:rFonts w:hint="eastAsia" w:ascii="宋体" w:hAnsi="宋体"/>
          <w:sz w:val="28"/>
          <w:szCs w:val="28"/>
        </w:rPr>
      </w:pPr>
      <w:r>
        <w:rPr>
          <w:rFonts w:hint="eastAsia" w:ascii="宋体" w:hAnsi="宋体"/>
          <w:sz w:val="28"/>
          <w:szCs w:val="28"/>
        </w:rPr>
        <w:t>按《中小学校</w:t>
      </w:r>
      <w:r>
        <w:rPr>
          <w:rFonts w:ascii="宋体" w:hAnsi="宋体"/>
          <w:sz w:val="28"/>
          <w:szCs w:val="28"/>
        </w:rPr>
        <w:t>建筑设计规范</w:t>
      </w:r>
      <w:r>
        <w:rPr>
          <w:rFonts w:hint="eastAsia" w:ascii="宋体" w:hAnsi="宋体"/>
          <w:sz w:val="28"/>
          <w:szCs w:val="28"/>
        </w:rPr>
        <w:t>》要求，立面应体现洁净自然。外墙面拟采用瓷砖以及外墙涂料，以体现小学特有的生动活泼之特点并与周边建筑物互相协调。</w:t>
      </w:r>
    </w:p>
    <w:p>
      <w:pPr>
        <w:spacing w:line="360" w:lineRule="auto"/>
        <w:ind w:firstLine="560" w:firstLineChars="200"/>
        <w:rPr>
          <w:rFonts w:hint="eastAsia" w:ascii="宋体" w:hAnsi="宋体"/>
          <w:sz w:val="28"/>
          <w:szCs w:val="28"/>
        </w:rPr>
      </w:pPr>
      <w:r>
        <w:rPr>
          <w:rFonts w:hint="eastAsia" w:ascii="宋体" w:hAnsi="宋体"/>
          <w:sz w:val="28"/>
          <w:szCs w:val="28"/>
        </w:rPr>
        <w:t>2.3主要建筑物内外装修及屋面、楼地面、门窗设计</w:t>
      </w:r>
    </w:p>
    <w:p>
      <w:pPr>
        <w:spacing w:line="360" w:lineRule="auto"/>
        <w:ind w:firstLine="560" w:firstLineChars="200"/>
        <w:rPr>
          <w:rFonts w:hint="eastAsia" w:ascii="宋体" w:hAnsi="宋体"/>
          <w:sz w:val="28"/>
          <w:szCs w:val="28"/>
        </w:rPr>
      </w:pPr>
      <w:r>
        <w:rPr>
          <w:rFonts w:hint="eastAsia" w:ascii="宋体" w:hAnsi="宋体"/>
          <w:sz w:val="28"/>
          <w:szCs w:val="28"/>
        </w:rPr>
        <w:t xml:space="preserve">   墙体：外墙采用24</w:t>
      </w:r>
      <w:r>
        <w:rPr>
          <w:rFonts w:ascii="宋体" w:hAnsi="宋体"/>
          <w:sz w:val="28"/>
          <w:szCs w:val="28"/>
        </w:rPr>
        <w:t>0</w:t>
      </w:r>
      <w:r>
        <w:rPr>
          <w:rFonts w:hint="eastAsia" w:ascii="宋体" w:hAnsi="宋体"/>
          <w:sz w:val="28"/>
          <w:szCs w:val="28"/>
        </w:rPr>
        <w:t>厚页岩多孔砖，内墙采用</w:t>
      </w:r>
      <w:r>
        <w:rPr>
          <w:rFonts w:ascii="宋体" w:hAnsi="宋体"/>
          <w:sz w:val="28"/>
          <w:szCs w:val="28"/>
        </w:rPr>
        <w:t>200</w:t>
      </w:r>
      <w:r>
        <w:rPr>
          <w:rFonts w:hint="eastAsia" w:ascii="宋体" w:hAnsi="宋体"/>
          <w:sz w:val="28"/>
          <w:szCs w:val="28"/>
        </w:rPr>
        <w:t>厚加气混凝土砌块，外墙做</w:t>
      </w:r>
      <w:r>
        <w:rPr>
          <w:rFonts w:ascii="宋体" w:hAnsi="宋体"/>
          <w:sz w:val="28"/>
          <w:szCs w:val="28"/>
        </w:rPr>
        <w:t>30</w:t>
      </w:r>
      <w:r>
        <w:rPr>
          <w:rFonts w:hint="eastAsia" w:ascii="宋体" w:hAnsi="宋体"/>
          <w:sz w:val="28"/>
          <w:szCs w:val="28"/>
        </w:rPr>
        <w:t>厚挤塑聚苯板保温，内墙刷乳胶漆墙面。</w:t>
      </w:r>
    </w:p>
    <w:p>
      <w:pPr>
        <w:spacing w:line="360" w:lineRule="auto"/>
        <w:ind w:firstLine="560" w:firstLineChars="200"/>
        <w:rPr>
          <w:rFonts w:hint="eastAsia" w:ascii="宋体" w:hAnsi="宋体"/>
          <w:sz w:val="28"/>
          <w:szCs w:val="28"/>
        </w:rPr>
      </w:pPr>
      <w:r>
        <w:rPr>
          <w:rFonts w:hint="eastAsia" w:ascii="宋体" w:hAnsi="宋体"/>
          <w:sz w:val="28"/>
          <w:szCs w:val="28"/>
        </w:rPr>
        <w:t xml:space="preserve">   屋面：</w:t>
      </w:r>
      <w:r>
        <w:rPr>
          <w:rFonts w:ascii="宋体" w:hAnsi="宋体"/>
          <w:sz w:val="28"/>
          <w:szCs w:val="28"/>
        </w:rPr>
        <w:t>60</w:t>
      </w:r>
      <w:r>
        <w:rPr>
          <w:rFonts w:hint="eastAsia" w:ascii="宋体" w:hAnsi="宋体"/>
          <w:sz w:val="28"/>
          <w:szCs w:val="28"/>
        </w:rPr>
        <w:t>厚挤塑聚苯板保温层屋面。</w:t>
      </w:r>
    </w:p>
    <w:p>
      <w:pPr>
        <w:spacing w:line="360" w:lineRule="auto"/>
        <w:ind w:firstLine="560" w:firstLineChars="200"/>
        <w:rPr>
          <w:rFonts w:hint="eastAsia" w:ascii="宋体" w:hAnsi="宋体"/>
          <w:sz w:val="28"/>
          <w:szCs w:val="28"/>
        </w:rPr>
      </w:pPr>
      <w:r>
        <w:rPr>
          <w:rFonts w:hint="eastAsia" w:ascii="宋体" w:hAnsi="宋体"/>
          <w:sz w:val="28"/>
          <w:szCs w:val="28"/>
        </w:rPr>
        <w:t xml:space="preserve">   楼地面：</w:t>
      </w:r>
      <w:r>
        <w:rPr>
          <w:rFonts w:ascii="宋体" w:hAnsi="宋体"/>
          <w:sz w:val="28"/>
          <w:szCs w:val="28"/>
        </w:rPr>
        <w:t xml:space="preserve">a. </w:t>
      </w:r>
      <w:r>
        <w:rPr>
          <w:rFonts w:hint="eastAsia" w:ascii="宋体" w:hAnsi="宋体"/>
          <w:sz w:val="28"/>
          <w:szCs w:val="28"/>
        </w:rPr>
        <w:t>卫生间为铺地砖楼地面。</w:t>
      </w:r>
    </w:p>
    <w:p>
      <w:pPr>
        <w:spacing w:line="360" w:lineRule="auto"/>
        <w:ind w:firstLine="560" w:firstLineChars="200"/>
        <w:rPr>
          <w:rFonts w:hint="eastAsia" w:ascii="宋体" w:hAnsi="宋体"/>
          <w:sz w:val="28"/>
          <w:szCs w:val="28"/>
        </w:rPr>
      </w:pPr>
      <w:r>
        <w:rPr>
          <w:rFonts w:hint="eastAsia" w:ascii="宋体" w:hAnsi="宋体"/>
          <w:sz w:val="28"/>
          <w:szCs w:val="28"/>
        </w:rPr>
        <w:t xml:space="preserve">   b. 除厕所外所有房间地面均为现浇水磨石楼地面。</w:t>
      </w:r>
    </w:p>
    <w:p>
      <w:pPr>
        <w:spacing w:line="360" w:lineRule="auto"/>
        <w:ind w:firstLine="560" w:firstLineChars="200"/>
        <w:rPr>
          <w:rFonts w:hint="eastAsia" w:ascii="宋体" w:hAnsi="宋体"/>
          <w:sz w:val="28"/>
          <w:szCs w:val="28"/>
        </w:rPr>
      </w:pPr>
      <w:r>
        <w:rPr>
          <w:rFonts w:hint="eastAsia" w:ascii="宋体" w:hAnsi="宋体"/>
          <w:sz w:val="28"/>
          <w:szCs w:val="28"/>
        </w:rPr>
        <w:t xml:space="preserve">   门窗：窗为中空玻璃塑钢窗，门为成品木门，对部分有防火要求的部位采用钢制防火门。</w:t>
      </w:r>
    </w:p>
    <w:p>
      <w:pPr>
        <w:spacing w:line="360" w:lineRule="auto"/>
        <w:ind w:firstLine="560" w:firstLineChars="200"/>
        <w:rPr>
          <w:rFonts w:hint="eastAsia" w:ascii="宋体" w:hAnsi="宋体"/>
          <w:sz w:val="28"/>
          <w:szCs w:val="28"/>
        </w:rPr>
      </w:pPr>
      <w:r>
        <w:rPr>
          <w:rFonts w:hint="eastAsia" w:ascii="宋体" w:hAnsi="宋体"/>
          <w:sz w:val="28"/>
          <w:szCs w:val="28"/>
        </w:rPr>
        <w:t>2.4结构设计方案</w:t>
      </w:r>
    </w:p>
    <w:p>
      <w:pPr>
        <w:spacing w:line="360" w:lineRule="auto"/>
        <w:ind w:firstLine="560" w:firstLineChars="200"/>
        <w:rPr>
          <w:rFonts w:hint="eastAsia" w:ascii="宋体" w:hAnsi="宋体"/>
          <w:sz w:val="28"/>
          <w:szCs w:val="28"/>
        </w:rPr>
      </w:pPr>
      <w:r>
        <w:rPr>
          <w:rFonts w:hint="eastAsia" w:ascii="宋体" w:hAnsi="宋体"/>
          <w:sz w:val="28"/>
          <w:szCs w:val="28"/>
        </w:rPr>
        <w:t>拟采用框架结构。校舍应符合抗震裂度、抗风和抗洪防水标准要求。抗震设防烈度为小于六度，基本风压0.7KN/m</w:t>
      </w:r>
      <w:r>
        <w:rPr>
          <w:rFonts w:hint="eastAsia" w:ascii="宋体" w:hAnsi="宋体"/>
          <w:sz w:val="28"/>
          <w:szCs w:val="28"/>
          <w:vertAlign w:val="superscript"/>
        </w:rPr>
        <w:t>2</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2.5基础拟采用独立柱基方案。</w:t>
      </w:r>
    </w:p>
    <w:p>
      <w:pPr>
        <w:spacing w:line="360" w:lineRule="auto"/>
        <w:ind w:firstLine="560" w:firstLineChars="200"/>
        <w:rPr>
          <w:rFonts w:hint="eastAsia" w:ascii="宋体" w:hAnsi="宋体"/>
          <w:sz w:val="28"/>
          <w:szCs w:val="28"/>
        </w:rPr>
      </w:pPr>
      <w:r>
        <w:rPr>
          <w:rFonts w:hint="eastAsia" w:ascii="宋体" w:hAnsi="宋体"/>
          <w:sz w:val="28"/>
          <w:szCs w:val="28"/>
        </w:rPr>
        <w:t>2.6强电设计方案。</w:t>
      </w:r>
    </w:p>
    <w:p>
      <w:pPr>
        <w:spacing w:line="360" w:lineRule="auto"/>
        <w:ind w:firstLine="560" w:firstLineChars="200"/>
        <w:rPr>
          <w:rFonts w:hint="eastAsia" w:ascii="宋体" w:hAnsi="宋体"/>
          <w:sz w:val="28"/>
          <w:szCs w:val="28"/>
        </w:rPr>
      </w:pPr>
      <w:r>
        <w:rPr>
          <w:rFonts w:hint="eastAsia" w:ascii="宋体" w:hAnsi="宋体"/>
          <w:sz w:val="28"/>
          <w:szCs w:val="28"/>
        </w:rPr>
        <w:t>2.6.1负荷等级及供电电源</w:t>
      </w:r>
    </w:p>
    <w:p>
      <w:pPr>
        <w:spacing w:line="360" w:lineRule="auto"/>
        <w:ind w:firstLine="560" w:firstLineChars="200"/>
        <w:rPr>
          <w:rFonts w:hint="eastAsia" w:ascii="宋体" w:hAnsi="宋体"/>
          <w:sz w:val="28"/>
          <w:szCs w:val="28"/>
        </w:rPr>
      </w:pPr>
      <w:r>
        <w:rPr>
          <w:rFonts w:hint="eastAsia" w:ascii="宋体" w:hAnsi="宋体"/>
          <w:sz w:val="28"/>
          <w:szCs w:val="28"/>
        </w:rPr>
        <w:t>照明及空调按三级负荷供电，设备及消防用电按二级负荷供电。</w:t>
      </w:r>
    </w:p>
    <w:p>
      <w:pPr>
        <w:spacing w:line="360" w:lineRule="auto"/>
        <w:ind w:firstLine="560" w:firstLineChars="200"/>
        <w:rPr>
          <w:rFonts w:hint="eastAsia" w:ascii="宋体" w:hAnsi="宋体"/>
          <w:sz w:val="28"/>
          <w:szCs w:val="28"/>
        </w:rPr>
      </w:pPr>
      <w:r>
        <w:rPr>
          <w:rFonts w:hint="eastAsia" w:ascii="宋体" w:hAnsi="宋体"/>
          <w:sz w:val="28"/>
          <w:szCs w:val="28"/>
        </w:rPr>
        <w:t>2.6.2变配电系统</w:t>
      </w:r>
    </w:p>
    <w:p>
      <w:pPr>
        <w:spacing w:line="360" w:lineRule="auto"/>
        <w:ind w:firstLine="560" w:firstLineChars="200"/>
        <w:rPr>
          <w:rFonts w:hint="eastAsia" w:ascii="宋体" w:hAnsi="宋体"/>
          <w:sz w:val="28"/>
          <w:szCs w:val="28"/>
        </w:rPr>
      </w:pPr>
      <w:r>
        <w:rPr>
          <w:rFonts w:hint="eastAsia" w:ascii="宋体" w:hAnsi="宋体"/>
          <w:sz w:val="28"/>
          <w:szCs w:val="28"/>
        </w:rPr>
        <w:t>低压配电及线路敷设：</w:t>
      </w:r>
    </w:p>
    <w:p>
      <w:pPr>
        <w:spacing w:line="360" w:lineRule="auto"/>
        <w:ind w:firstLine="560" w:firstLineChars="200"/>
        <w:rPr>
          <w:rFonts w:hint="eastAsia" w:ascii="宋体" w:hAnsi="宋体"/>
          <w:sz w:val="28"/>
          <w:szCs w:val="28"/>
        </w:rPr>
      </w:pPr>
      <w:r>
        <w:rPr>
          <w:rFonts w:hint="eastAsia" w:ascii="宋体" w:hAnsi="宋体"/>
          <w:sz w:val="28"/>
          <w:szCs w:val="28"/>
        </w:rPr>
        <w:t>普通动力、照明配电支线采用BV-500V型塑料绝缘铜芯线穿KBG管暗敷设或在吊顶内敷设。</w:t>
      </w:r>
    </w:p>
    <w:p>
      <w:pPr>
        <w:spacing w:line="360" w:lineRule="auto"/>
        <w:ind w:firstLine="560" w:firstLineChars="200"/>
        <w:rPr>
          <w:rFonts w:hint="eastAsia" w:ascii="宋体" w:hAnsi="宋体"/>
          <w:sz w:val="28"/>
          <w:szCs w:val="28"/>
        </w:rPr>
      </w:pPr>
      <w:r>
        <w:rPr>
          <w:rFonts w:hint="eastAsia" w:ascii="宋体" w:hAnsi="宋体"/>
          <w:sz w:val="28"/>
          <w:szCs w:val="28"/>
        </w:rPr>
        <w:t>消防设备配电支线采用NHBV—500V型耐火塑料绝缘铜芯线穿KBG扣压式镀锌管暗敷设或在吊顶内敷设。</w:t>
      </w:r>
    </w:p>
    <w:p>
      <w:pPr>
        <w:spacing w:line="360" w:lineRule="auto"/>
        <w:ind w:firstLine="560" w:firstLineChars="200"/>
        <w:rPr>
          <w:rFonts w:hint="eastAsia" w:ascii="宋体" w:hAnsi="宋体"/>
          <w:sz w:val="28"/>
          <w:szCs w:val="28"/>
        </w:rPr>
      </w:pPr>
      <w:r>
        <w:rPr>
          <w:rFonts w:hint="eastAsia" w:ascii="宋体" w:hAnsi="宋体"/>
          <w:sz w:val="28"/>
          <w:szCs w:val="28"/>
        </w:rPr>
        <w:t>线路敷设：</w:t>
      </w:r>
    </w:p>
    <w:p>
      <w:pPr>
        <w:spacing w:line="360" w:lineRule="auto"/>
        <w:ind w:firstLine="560" w:firstLineChars="200"/>
        <w:rPr>
          <w:rFonts w:ascii="宋体" w:hAnsi="宋体"/>
          <w:sz w:val="28"/>
          <w:szCs w:val="28"/>
        </w:rPr>
      </w:pPr>
      <w:r>
        <w:rPr>
          <w:rFonts w:hint="eastAsia" w:ascii="宋体" w:hAnsi="宋体"/>
          <w:sz w:val="28"/>
          <w:szCs w:val="28"/>
        </w:rPr>
        <w:t>配电线路均采用铜芯塑料线。一般分支回路不小于２.５mm</w:t>
      </w:r>
      <w:r>
        <w:rPr>
          <w:rFonts w:hint="eastAsia" w:ascii="宋体" w:hAnsi="宋体"/>
          <w:sz w:val="28"/>
          <w:szCs w:val="28"/>
          <w:vertAlign w:val="superscript"/>
        </w:rPr>
        <w:t>2</w:t>
      </w:r>
      <w:r>
        <w:rPr>
          <w:rFonts w:hint="eastAsia" w:ascii="宋体" w:hAnsi="宋体"/>
          <w:sz w:val="28"/>
          <w:szCs w:val="28"/>
        </w:rPr>
        <w:t>，柜式空调等插座回路不小于４mm</w:t>
      </w:r>
      <w:r>
        <w:rPr>
          <w:rFonts w:hint="eastAsia" w:ascii="宋体" w:hAnsi="宋体"/>
          <w:sz w:val="28"/>
          <w:szCs w:val="28"/>
          <w:vertAlign w:val="superscript"/>
        </w:rPr>
        <w:t>2</w:t>
      </w:r>
      <w:r>
        <w:rPr>
          <w:rFonts w:hint="eastAsia" w:ascii="宋体" w:hAnsi="宋体"/>
          <w:sz w:val="28"/>
          <w:szCs w:val="28"/>
        </w:rPr>
        <w:t>，配电单相回路的中性线与相线截面相等。照明及插座配电线路均采用ＢＶ－５００型塑料铜芯线穿KBG管暗敷。</w:t>
      </w:r>
    </w:p>
    <w:p>
      <w:pPr>
        <w:spacing w:line="360" w:lineRule="auto"/>
        <w:ind w:firstLine="560" w:firstLineChars="200"/>
        <w:rPr>
          <w:rFonts w:hint="eastAsia" w:ascii="宋体" w:hAnsi="宋体"/>
          <w:sz w:val="28"/>
          <w:szCs w:val="28"/>
        </w:rPr>
      </w:pPr>
      <w:r>
        <w:rPr>
          <w:rFonts w:hint="eastAsia" w:ascii="宋体" w:hAnsi="宋体"/>
          <w:sz w:val="28"/>
          <w:szCs w:val="28"/>
        </w:rPr>
        <w:t>2.7弱电设计方案：</w:t>
      </w:r>
    </w:p>
    <w:p>
      <w:pPr>
        <w:spacing w:line="360" w:lineRule="auto"/>
        <w:ind w:firstLine="560" w:firstLineChars="200"/>
        <w:rPr>
          <w:rFonts w:hint="eastAsia" w:ascii="宋体" w:hAnsi="宋体"/>
          <w:sz w:val="28"/>
          <w:szCs w:val="28"/>
        </w:rPr>
      </w:pPr>
      <w:r>
        <w:rPr>
          <w:rFonts w:hint="eastAsia" w:ascii="宋体" w:hAnsi="宋体"/>
          <w:sz w:val="28"/>
          <w:szCs w:val="28"/>
        </w:rPr>
        <w:t>2.7.1灯光控制系统</w:t>
      </w:r>
    </w:p>
    <w:p>
      <w:pPr>
        <w:spacing w:line="360" w:lineRule="auto"/>
        <w:ind w:firstLine="560" w:firstLineChars="200"/>
        <w:rPr>
          <w:rFonts w:hint="eastAsia" w:ascii="宋体" w:hAnsi="宋体"/>
          <w:sz w:val="28"/>
          <w:szCs w:val="28"/>
        </w:rPr>
      </w:pPr>
      <w:r>
        <w:rPr>
          <w:rFonts w:hint="eastAsia" w:ascii="宋体" w:hAnsi="宋体"/>
          <w:sz w:val="28"/>
          <w:szCs w:val="28"/>
        </w:rPr>
        <w:t>一般场所为荧光灯或节能型光源，楼梯间等场所设置应急照明，采用220V电源供电，采用现场控制开关。在走廊、安全出入口，楼梯间、主要出入口等场所设置疏散指示。</w:t>
      </w:r>
    </w:p>
    <w:p>
      <w:pPr>
        <w:spacing w:line="360" w:lineRule="auto"/>
        <w:ind w:firstLine="560" w:firstLineChars="200"/>
        <w:rPr>
          <w:rFonts w:hint="eastAsia" w:ascii="宋体" w:hAnsi="宋体"/>
          <w:sz w:val="28"/>
          <w:szCs w:val="28"/>
        </w:rPr>
      </w:pPr>
      <w:r>
        <w:rPr>
          <w:rFonts w:hint="eastAsia" w:ascii="宋体" w:hAnsi="宋体"/>
          <w:sz w:val="28"/>
          <w:szCs w:val="28"/>
        </w:rPr>
        <w:t>2.7.2日常广播和紧急广播系统</w:t>
      </w:r>
    </w:p>
    <w:p>
      <w:pPr>
        <w:spacing w:line="360" w:lineRule="auto"/>
        <w:ind w:firstLine="560" w:firstLineChars="200"/>
        <w:rPr>
          <w:rFonts w:hint="eastAsia" w:ascii="宋体" w:hAnsi="宋体"/>
          <w:sz w:val="28"/>
          <w:szCs w:val="28"/>
        </w:rPr>
      </w:pPr>
      <w:r>
        <w:rPr>
          <w:rFonts w:hint="eastAsia" w:ascii="宋体" w:hAnsi="宋体"/>
          <w:sz w:val="28"/>
          <w:szCs w:val="28"/>
        </w:rPr>
        <w:t>2.7.3有线电视系统</w:t>
      </w:r>
    </w:p>
    <w:p>
      <w:pPr>
        <w:spacing w:line="360" w:lineRule="auto"/>
        <w:ind w:firstLine="560" w:firstLineChars="200"/>
        <w:rPr>
          <w:rFonts w:hint="eastAsia" w:ascii="宋体" w:hAnsi="宋体"/>
          <w:sz w:val="28"/>
          <w:szCs w:val="28"/>
        </w:rPr>
      </w:pPr>
      <w:r>
        <w:rPr>
          <w:rFonts w:hint="eastAsia" w:ascii="宋体" w:hAnsi="宋体"/>
          <w:sz w:val="28"/>
          <w:szCs w:val="28"/>
        </w:rPr>
        <w:t>2.7.4防雷接地系统</w:t>
      </w:r>
    </w:p>
    <w:p>
      <w:pPr>
        <w:spacing w:line="360" w:lineRule="auto"/>
        <w:ind w:firstLine="560" w:firstLineChars="200"/>
        <w:rPr>
          <w:rFonts w:hint="eastAsia" w:ascii="宋体" w:hAnsi="宋体"/>
          <w:sz w:val="28"/>
          <w:szCs w:val="28"/>
        </w:rPr>
      </w:pPr>
      <w:r>
        <w:rPr>
          <w:rFonts w:hint="eastAsia" w:ascii="宋体" w:hAnsi="宋体"/>
          <w:sz w:val="28"/>
          <w:szCs w:val="28"/>
        </w:rPr>
        <w:t>屋面防雷采用明装避雷针及暗装避雷网的方式。引下线利用柱内二根主筋。</w:t>
      </w:r>
    </w:p>
    <w:p>
      <w:pPr>
        <w:spacing w:line="360" w:lineRule="auto"/>
        <w:ind w:firstLine="560" w:firstLineChars="200"/>
        <w:rPr>
          <w:rFonts w:hint="eastAsia" w:ascii="宋体" w:hAnsi="宋体"/>
          <w:sz w:val="28"/>
          <w:szCs w:val="28"/>
        </w:rPr>
      </w:pPr>
      <w:r>
        <w:rPr>
          <w:rFonts w:hint="eastAsia" w:ascii="宋体" w:hAnsi="宋体"/>
          <w:sz w:val="28"/>
          <w:szCs w:val="28"/>
        </w:rPr>
        <w:t>2.8给排水设计方案</w:t>
      </w:r>
    </w:p>
    <w:p>
      <w:pPr>
        <w:widowControl/>
        <w:spacing w:line="360" w:lineRule="auto"/>
        <w:ind w:firstLine="560" w:firstLineChars="200"/>
        <w:jc w:val="left"/>
        <w:rPr>
          <w:rFonts w:hint="eastAsia" w:ascii="宋体" w:hAnsi="宋体"/>
          <w:sz w:val="28"/>
          <w:szCs w:val="28"/>
        </w:rPr>
      </w:pPr>
      <w:r>
        <w:rPr>
          <w:rFonts w:hint="eastAsia" w:ascii="宋体" w:hAnsi="宋体"/>
          <w:sz w:val="28"/>
          <w:szCs w:val="28"/>
        </w:rPr>
        <w:t>生活用水水源由天台县市政给水管网供给，本项目给水系统直接从校外市政给水干管接入，新建建筑给水管网管径均采用DN150。采用市政管网直接供水，满足生活和消防用水的需要。</w:t>
      </w:r>
    </w:p>
    <w:p>
      <w:pPr>
        <w:widowControl/>
        <w:spacing w:line="360" w:lineRule="auto"/>
        <w:ind w:firstLine="560" w:firstLineChars="200"/>
        <w:jc w:val="left"/>
        <w:rPr>
          <w:rFonts w:ascii="宋体" w:hAnsi="宋体"/>
          <w:sz w:val="28"/>
          <w:szCs w:val="28"/>
        </w:rPr>
      </w:pPr>
      <w:r>
        <w:rPr>
          <w:rFonts w:hint="eastAsia" w:ascii="宋体" w:hAnsi="宋体"/>
          <w:sz w:val="28"/>
          <w:szCs w:val="28"/>
        </w:rPr>
        <w:t>a.</w:t>
      </w:r>
      <w:r>
        <w:rPr>
          <w:rFonts w:ascii="宋体" w:hAnsi="宋体"/>
          <w:sz w:val="28"/>
          <w:szCs w:val="28"/>
        </w:rPr>
        <w:t>给水管道采用公称压力1.6Mpa级的PP-R聚丙烯冷水管，热熔连接，阀门及配件为同厂配套产品。</w:t>
      </w:r>
    </w:p>
    <w:p>
      <w:pPr>
        <w:widowControl/>
        <w:spacing w:line="360" w:lineRule="auto"/>
        <w:ind w:firstLine="560" w:firstLineChars="200"/>
        <w:jc w:val="left"/>
        <w:rPr>
          <w:rFonts w:ascii="宋体" w:hAnsi="宋体"/>
          <w:sz w:val="28"/>
          <w:szCs w:val="28"/>
        </w:rPr>
      </w:pPr>
      <w:r>
        <w:rPr>
          <w:rFonts w:hint="eastAsia" w:ascii="宋体" w:hAnsi="宋体"/>
          <w:sz w:val="28"/>
          <w:szCs w:val="28"/>
        </w:rPr>
        <w:t>b.</w:t>
      </w:r>
      <w:r>
        <w:rPr>
          <w:rFonts w:ascii="宋体" w:hAnsi="宋体"/>
          <w:sz w:val="28"/>
          <w:szCs w:val="28"/>
        </w:rPr>
        <w:t>消火栓管道采用内涂塑热镀锌钢管，丝扣连接。工作压力为1.6Mpa级。</w:t>
      </w:r>
    </w:p>
    <w:p>
      <w:pPr>
        <w:widowControl/>
        <w:spacing w:line="360" w:lineRule="auto"/>
        <w:ind w:firstLine="560" w:firstLineChars="200"/>
        <w:jc w:val="left"/>
        <w:rPr>
          <w:rFonts w:ascii="宋体" w:hAnsi="宋体"/>
          <w:sz w:val="28"/>
          <w:szCs w:val="28"/>
        </w:rPr>
      </w:pPr>
      <w:r>
        <w:rPr>
          <w:rFonts w:hint="eastAsia" w:ascii="宋体" w:hAnsi="宋体"/>
          <w:sz w:val="28"/>
          <w:szCs w:val="28"/>
        </w:rPr>
        <w:t>c.</w:t>
      </w:r>
      <w:r>
        <w:rPr>
          <w:rFonts w:ascii="宋体" w:hAnsi="宋体"/>
          <w:sz w:val="28"/>
          <w:szCs w:val="28"/>
        </w:rPr>
        <w:t>生活排水管采用U</w:t>
      </w:r>
      <w:r>
        <w:rPr>
          <w:rFonts w:hint="eastAsia" w:ascii="宋体" w:hAnsi="宋体"/>
          <w:sz w:val="28"/>
          <w:szCs w:val="28"/>
        </w:rPr>
        <w:t>-</w:t>
      </w:r>
      <w:r>
        <w:rPr>
          <w:rFonts w:ascii="宋体" w:hAnsi="宋体"/>
          <w:sz w:val="28"/>
          <w:szCs w:val="28"/>
        </w:rPr>
        <w:t>PVC硬聚氯乙烯塑料排水管。</w:t>
      </w:r>
    </w:p>
    <w:p>
      <w:pPr>
        <w:widowControl/>
        <w:spacing w:line="360" w:lineRule="auto"/>
        <w:ind w:firstLine="560" w:firstLineChars="200"/>
        <w:jc w:val="left"/>
        <w:rPr>
          <w:rFonts w:ascii="宋体" w:hAnsi="宋体"/>
          <w:sz w:val="28"/>
          <w:szCs w:val="28"/>
        </w:rPr>
      </w:pPr>
      <w:r>
        <w:rPr>
          <w:rFonts w:hint="eastAsia" w:ascii="宋体" w:hAnsi="宋体"/>
          <w:sz w:val="28"/>
          <w:szCs w:val="28"/>
        </w:rPr>
        <w:t>d.</w:t>
      </w:r>
      <w:r>
        <w:rPr>
          <w:rFonts w:ascii="宋体" w:hAnsi="宋体"/>
          <w:sz w:val="28"/>
          <w:szCs w:val="28"/>
        </w:rPr>
        <w:t>室外雨水管采用抗紫外线性能较强的U</w:t>
      </w:r>
      <w:r>
        <w:rPr>
          <w:rFonts w:hint="eastAsia" w:ascii="宋体" w:hAnsi="宋体"/>
          <w:sz w:val="28"/>
          <w:szCs w:val="28"/>
        </w:rPr>
        <w:t>-</w:t>
      </w:r>
      <w:r>
        <w:rPr>
          <w:rFonts w:ascii="宋体" w:hAnsi="宋体"/>
          <w:sz w:val="28"/>
          <w:szCs w:val="28"/>
        </w:rPr>
        <w:t>PVC雨水管。</w:t>
      </w:r>
    </w:p>
    <w:p>
      <w:pPr>
        <w:widowControl/>
        <w:spacing w:line="360" w:lineRule="auto"/>
        <w:ind w:firstLine="560" w:firstLineChars="200"/>
        <w:jc w:val="left"/>
        <w:rPr>
          <w:rFonts w:ascii="宋体" w:hAnsi="宋体"/>
          <w:sz w:val="28"/>
          <w:szCs w:val="28"/>
        </w:rPr>
      </w:pPr>
      <w:r>
        <w:rPr>
          <w:rFonts w:hint="eastAsia" w:ascii="宋体" w:hAnsi="宋体"/>
          <w:sz w:val="28"/>
          <w:szCs w:val="28"/>
        </w:rPr>
        <w:t>e.</w:t>
      </w:r>
      <w:r>
        <w:rPr>
          <w:rFonts w:ascii="宋体" w:hAnsi="宋体"/>
          <w:sz w:val="28"/>
          <w:szCs w:val="28"/>
        </w:rPr>
        <w:t>室外给水管管径&lt;DN100采用内涂塑热镀锌钢管及配件，丝扣连接。管径≥DN100采用球黑铸铁管及配件，柔性橡胶圈承插连接。</w:t>
      </w:r>
    </w:p>
    <w:p>
      <w:pPr>
        <w:widowControl/>
        <w:spacing w:line="360" w:lineRule="auto"/>
        <w:ind w:firstLine="560" w:firstLineChars="200"/>
        <w:jc w:val="left"/>
        <w:rPr>
          <w:rFonts w:hint="eastAsia" w:ascii="宋体" w:hAnsi="宋体"/>
          <w:sz w:val="28"/>
          <w:szCs w:val="28"/>
        </w:rPr>
      </w:pPr>
      <w:r>
        <w:rPr>
          <w:rFonts w:hint="eastAsia" w:ascii="宋体" w:hAnsi="宋体"/>
          <w:sz w:val="28"/>
          <w:szCs w:val="28"/>
        </w:rPr>
        <w:t>f.</w:t>
      </w:r>
      <w:r>
        <w:rPr>
          <w:rFonts w:ascii="宋体" w:hAnsi="宋体"/>
          <w:sz w:val="28"/>
          <w:szCs w:val="28"/>
        </w:rPr>
        <w:t>室外消防管采用球黑铸铁管及配件，柔性橡胶圈承插连接。</w:t>
      </w:r>
    </w:p>
    <w:p>
      <w:pPr>
        <w:widowControl/>
        <w:spacing w:line="360" w:lineRule="auto"/>
        <w:ind w:firstLine="560" w:firstLineChars="200"/>
        <w:jc w:val="left"/>
        <w:rPr>
          <w:rFonts w:hint="eastAsia" w:ascii="宋体" w:hAnsi="宋体"/>
          <w:sz w:val="28"/>
          <w:szCs w:val="28"/>
        </w:rPr>
      </w:pPr>
      <w:r>
        <w:rPr>
          <w:rFonts w:hint="eastAsia" w:ascii="宋体" w:hAnsi="宋体"/>
          <w:sz w:val="28"/>
          <w:szCs w:val="28"/>
        </w:rPr>
        <w:t>g. 室内排水采用污水、废水分流制，室外采用雨、污水分流制。粪便污水进入化粪池处理后排入天桐路市政污水管网；校内污水由污水管汇总后排入天桐路市政污水管网。</w:t>
      </w:r>
      <w:bookmarkEnd w:id="17"/>
      <w:r>
        <w:rPr>
          <w:rFonts w:hint="eastAsia" w:ascii="宋体" w:hAnsi="宋体" w:cs="宋体"/>
          <w:bCs/>
          <w:color w:val="393939"/>
          <w:kern w:val="0"/>
          <w:sz w:val="32"/>
          <w:szCs w:val="32"/>
        </w:rPr>
        <w:t xml:space="preserve"> </w:t>
      </w:r>
    </w:p>
    <w:p>
      <w:pPr>
        <w:spacing w:line="360" w:lineRule="auto"/>
        <w:jc w:val="center"/>
        <w:outlineLvl w:val="0"/>
        <w:rPr>
          <w:rFonts w:hint="eastAsia" w:ascii="宋体" w:hAnsi="宋体"/>
          <w:b/>
          <w:sz w:val="52"/>
          <w:szCs w:val="52"/>
        </w:rPr>
      </w:pPr>
      <w:r>
        <w:rPr>
          <w:rFonts w:ascii="宋体" w:hAnsi="宋体"/>
          <w:b/>
          <w:sz w:val="30"/>
          <w:szCs w:val="30"/>
        </w:rPr>
        <w:br w:type="page"/>
      </w:r>
      <w:bookmarkStart w:id="18" w:name="_Toc496105202"/>
      <w:bookmarkStart w:id="19" w:name="_Toc432430949"/>
      <w:r>
        <w:rPr>
          <w:rFonts w:hint="eastAsia" w:ascii="宋体" w:hAnsi="宋体"/>
          <w:b/>
          <w:sz w:val="52"/>
          <w:szCs w:val="52"/>
        </w:rPr>
        <w:t>第六节   环境影响评价与安全防护</w:t>
      </w:r>
      <w:bookmarkEnd w:id="18"/>
      <w:bookmarkEnd w:id="19"/>
    </w:p>
    <w:p>
      <w:pPr>
        <w:spacing w:line="360" w:lineRule="auto"/>
        <w:ind w:firstLine="562" w:firstLineChars="200"/>
        <w:outlineLvl w:val="1"/>
        <w:rPr>
          <w:rFonts w:hint="eastAsia" w:ascii="宋体" w:hAnsi="宋体"/>
          <w:b/>
          <w:sz w:val="28"/>
          <w:szCs w:val="28"/>
        </w:rPr>
      </w:pPr>
      <w:bookmarkStart w:id="20" w:name="_Toc432430950"/>
      <w:bookmarkStart w:id="21" w:name="_Toc496105203"/>
      <w:r>
        <w:rPr>
          <w:rFonts w:hint="eastAsia" w:ascii="宋体" w:hAnsi="宋体"/>
          <w:b/>
          <w:sz w:val="28"/>
          <w:szCs w:val="28"/>
        </w:rPr>
        <w:t>一、环境影响评价</w:t>
      </w:r>
      <w:bookmarkEnd w:id="20"/>
      <w:bookmarkEnd w:id="21"/>
    </w:p>
    <w:p>
      <w:pPr>
        <w:spacing w:line="360" w:lineRule="auto"/>
        <w:ind w:firstLine="560" w:firstLineChars="200"/>
        <w:rPr>
          <w:rFonts w:hint="eastAsia" w:ascii="宋体" w:hAnsi="宋体"/>
          <w:sz w:val="28"/>
          <w:szCs w:val="28"/>
        </w:rPr>
      </w:pPr>
      <w:r>
        <w:rPr>
          <w:rFonts w:hint="eastAsia" w:ascii="宋体" w:hAnsi="宋体"/>
          <w:sz w:val="28"/>
          <w:szCs w:val="28"/>
        </w:rPr>
        <w:t>1、环境影响分析</w:t>
      </w:r>
    </w:p>
    <w:p>
      <w:pPr>
        <w:spacing w:line="360" w:lineRule="auto"/>
        <w:ind w:firstLine="560" w:firstLineChars="200"/>
        <w:rPr>
          <w:rFonts w:hint="eastAsia" w:ascii="宋体" w:hAnsi="宋体"/>
          <w:sz w:val="28"/>
          <w:szCs w:val="28"/>
        </w:rPr>
      </w:pPr>
      <w:r>
        <w:rPr>
          <w:rFonts w:hint="eastAsia" w:ascii="宋体" w:hAnsi="宋体"/>
          <w:sz w:val="28"/>
          <w:szCs w:val="28"/>
        </w:rPr>
        <w:t>①环境保护标准</w:t>
      </w:r>
    </w:p>
    <w:p>
      <w:pPr>
        <w:spacing w:line="360" w:lineRule="auto"/>
        <w:ind w:firstLine="560" w:firstLineChars="200"/>
        <w:rPr>
          <w:rFonts w:hint="eastAsia" w:ascii="宋体" w:hAnsi="宋体"/>
          <w:sz w:val="28"/>
          <w:szCs w:val="28"/>
        </w:rPr>
      </w:pPr>
      <w:r>
        <w:rPr>
          <w:rFonts w:hint="eastAsia" w:ascii="宋体" w:hAnsi="宋体"/>
          <w:sz w:val="28"/>
          <w:szCs w:val="28"/>
        </w:rPr>
        <w:t xml:space="preserve"> 按照国家环境保护有关规定，本项目主要采用如下标准：</w:t>
      </w:r>
    </w:p>
    <w:p>
      <w:pPr>
        <w:spacing w:line="360" w:lineRule="auto"/>
        <w:ind w:firstLine="560" w:firstLineChars="200"/>
        <w:rPr>
          <w:rFonts w:hint="eastAsia" w:ascii="宋体" w:hAnsi="宋体"/>
          <w:sz w:val="28"/>
          <w:szCs w:val="28"/>
        </w:rPr>
      </w:pPr>
      <w:r>
        <w:rPr>
          <w:rFonts w:hint="eastAsia" w:ascii="宋体" w:hAnsi="宋体"/>
          <w:sz w:val="28"/>
          <w:szCs w:val="28"/>
        </w:rPr>
        <w:t>《水土保持综合治理技术规范》（GB/T16453.1-16453.6-1996）</w:t>
      </w:r>
    </w:p>
    <w:p>
      <w:pPr>
        <w:spacing w:line="360" w:lineRule="auto"/>
        <w:ind w:firstLine="560" w:firstLineChars="200"/>
        <w:rPr>
          <w:rFonts w:hint="eastAsia" w:ascii="宋体" w:hAnsi="宋体"/>
          <w:sz w:val="28"/>
          <w:szCs w:val="28"/>
        </w:rPr>
      </w:pPr>
      <w:r>
        <w:rPr>
          <w:rFonts w:hint="eastAsia" w:ascii="宋体" w:hAnsi="宋体"/>
          <w:sz w:val="28"/>
          <w:szCs w:val="28"/>
        </w:rPr>
        <w:t>《污水排放综合标准》（GB8978-1996）</w:t>
      </w:r>
    </w:p>
    <w:p>
      <w:pPr>
        <w:spacing w:line="360" w:lineRule="auto"/>
        <w:ind w:firstLine="560" w:firstLineChars="200"/>
        <w:rPr>
          <w:rFonts w:hint="eastAsia" w:ascii="宋体" w:hAnsi="宋体"/>
          <w:sz w:val="28"/>
          <w:szCs w:val="28"/>
        </w:rPr>
      </w:pPr>
      <w:r>
        <w:rPr>
          <w:rFonts w:hint="eastAsia" w:ascii="宋体" w:hAnsi="宋体"/>
          <w:sz w:val="28"/>
          <w:szCs w:val="28"/>
        </w:rPr>
        <w:t>《地表水环境质量标准》（GB3838-2002）</w:t>
      </w:r>
    </w:p>
    <w:p>
      <w:pPr>
        <w:spacing w:line="360" w:lineRule="auto"/>
        <w:ind w:firstLine="560" w:firstLineChars="200"/>
        <w:rPr>
          <w:rFonts w:hint="eastAsia" w:ascii="宋体" w:hAnsi="宋体"/>
          <w:sz w:val="28"/>
          <w:szCs w:val="28"/>
        </w:rPr>
      </w:pPr>
      <w:r>
        <w:rPr>
          <w:rFonts w:hint="eastAsia" w:ascii="宋体" w:hAnsi="宋体"/>
          <w:sz w:val="28"/>
          <w:szCs w:val="28"/>
        </w:rPr>
        <w:t>《环境空气质量标准》（GB3095-1996）</w:t>
      </w:r>
    </w:p>
    <w:p>
      <w:pPr>
        <w:spacing w:line="360" w:lineRule="auto"/>
        <w:ind w:firstLine="560" w:firstLineChars="200"/>
        <w:rPr>
          <w:rFonts w:hint="eastAsia" w:ascii="宋体" w:hAnsi="宋体"/>
          <w:sz w:val="28"/>
          <w:szCs w:val="28"/>
        </w:rPr>
      </w:pPr>
      <w:r>
        <w:rPr>
          <w:rFonts w:hint="eastAsia" w:ascii="宋体" w:hAnsi="宋体"/>
          <w:sz w:val="28"/>
          <w:szCs w:val="28"/>
        </w:rPr>
        <w:t>《城市区域环境噪声标准》（GB3096-2008）</w:t>
      </w:r>
    </w:p>
    <w:p>
      <w:pPr>
        <w:spacing w:line="360" w:lineRule="auto"/>
        <w:ind w:firstLine="560" w:firstLineChars="200"/>
        <w:rPr>
          <w:rFonts w:hint="eastAsia" w:ascii="宋体" w:hAnsi="宋体"/>
          <w:sz w:val="28"/>
          <w:szCs w:val="28"/>
        </w:rPr>
      </w:pPr>
      <w:r>
        <w:rPr>
          <w:rFonts w:hint="eastAsia" w:ascii="宋体" w:hAnsi="宋体"/>
          <w:sz w:val="28"/>
          <w:szCs w:val="28"/>
        </w:rPr>
        <w:t>《大气污染物综合排放标准》（GB16297-1996）</w:t>
      </w:r>
    </w:p>
    <w:p>
      <w:pPr>
        <w:spacing w:line="360" w:lineRule="auto"/>
        <w:ind w:firstLine="560" w:firstLineChars="200"/>
        <w:rPr>
          <w:rFonts w:hint="eastAsia" w:ascii="宋体" w:hAnsi="宋体"/>
          <w:sz w:val="28"/>
          <w:szCs w:val="28"/>
        </w:rPr>
      </w:pPr>
      <w:r>
        <w:rPr>
          <w:rFonts w:hint="eastAsia" w:ascii="宋体" w:hAnsi="宋体"/>
          <w:sz w:val="28"/>
          <w:szCs w:val="28"/>
        </w:rPr>
        <w:t>《建筑施工场界噪声标准》（GB12523-90）</w:t>
      </w:r>
    </w:p>
    <w:p>
      <w:pPr>
        <w:spacing w:line="360" w:lineRule="auto"/>
        <w:ind w:firstLine="560" w:firstLineChars="200"/>
        <w:rPr>
          <w:rFonts w:hint="eastAsia" w:ascii="宋体" w:hAnsi="宋体"/>
          <w:sz w:val="28"/>
          <w:szCs w:val="28"/>
        </w:rPr>
      </w:pPr>
      <w:r>
        <w:rPr>
          <w:rFonts w:hint="eastAsia" w:ascii="宋体" w:hAnsi="宋体"/>
          <w:sz w:val="28"/>
          <w:szCs w:val="28"/>
        </w:rPr>
        <w:t>其他有关标准等</w:t>
      </w:r>
    </w:p>
    <w:p>
      <w:pPr>
        <w:spacing w:line="360" w:lineRule="auto"/>
        <w:ind w:firstLine="560" w:firstLineChars="200"/>
        <w:rPr>
          <w:rFonts w:hint="eastAsia" w:ascii="宋体" w:hAnsi="宋体"/>
          <w:sz w:val="28"/>
          <w:szCs w:val="28"/>
        </w:rPr>
      </w:pPr>
      <w:r>
        <w:rPr>
          <w:rFonts w:hint="eastAsia" w:ascii="宋体" w:hAnsi="宋体"/>
          <w:sz w:val="28"/>
          <w:szCs w:val="28"/>
        </w:rPr>
        <w:t>②项目运营期环境影响分析</w:t>
      </w:r>
    </w:p>
    <w:p>
      <w:pPr>
        <w:spacing w:line="360" w:lineRule="auto"/>
        <w:ind w:firstLine="560" w:firstLineChars="200"/>
        <w:rPr>
          <w:rFonts w:hint="eastAsia" w:ascii="宋体" w:hAnsi="宋体"/>
          <w:sz w:val="28"/>
          <w:szCs w:val="28"/>
        </w:rPr>
      </w:pPr>
      <w:r>
        <w:rPr>
          <w:rFonts w:hint="eastAsia" w:ascii="宋体" w:hAnsi="宋体"/>
          <w:sz w:val="28"/>
          <w:szCs w:val="28"/>
        </w:rPr>
        <w:t>a、 水环境影响分析</w:t>
      </w:r>
    </w:p>
    <w:p>
      <w:pPr>
        <w:spacing w:line="360" w:lineRule="auto"/>
        <w:ind w:firstLine="560" w:firstLineChars="200"/>
        <w:rPr>
          <w:rFonts w:hint="eastAsia" w:ascii="宋体" w:hAnsi="宋体"/>
          <w:sz w:val="28"/>
          <w:szCs w:val="28"/>
        </w:rPr>
      </w:pPr>
      <w:r>
        <w:rPr>
          <w:rFonts w:hint="eastAsia" w:ascii="宋体" w:hAnsi="宋体"/>
          <w:sz w:val="28"/>
          <w:szCs w:val="28"/>
        </w:rPr>
        <w:t>本项目产生的污水主要为生活污废水，即生活污水。</w:t>
      </w:r>
    </w:p>
    <w:p>
      <w:pPr>
        <w:spacing w:line="360" w:lineRule="auto"/>
        <w:ind w:firstLine="560" w:firstLineChars="200"/>
        <w:rPr>
          <w:rFonts w:hint="eastAsia" w:ascii="宋体" w:hAnsi="宋体"/>
          <w:sz w:val="28"/>
          <w:szCs w:val="28"/>
        </w:rPr>
      </w:pPr>
      <w:r>
        <w:rPr>
          <w:rFonts w:hint="eastAsia" w:ascii="宋体" w:hAnsi="宋体"/>
          <w:sz w:val="28"/>
          <w:szCs w:val="28"/>
        </w:rPr>
        <w:t>b. 声环境影响分析</w:t>
      </w:r>
    </w:p>
    <w:p>
      <w:pPr>
        <w:spacing w:line="360" w:lineRule="auto"/>
        <w:ind w:firstLine="560" w:firstLineChars="200"/>
        <w:rPr>
          <w:rFonts w:hint="eastAsia" w:ascii="宋体" w:hAnsi="宋体"/>
          <w:sz w:val="28"/>
          <w:szCs w:val="28"/>
        </w:rPr>
      </w:pPr>
      <w:r>
        <w:rPr>
          <w:rFonts w:hint="eastAsia" w:ascii="宋体" w:hAnsi="宋体"/>
          <w:sz w:val="28"/>
          <w:szCs w:val="28"/>
        </w:rPr>
        <w:t>声环境质量执行《城市区域环境噪声标准》（GB3096—2008）。项目主要噪声为空调运转产生的噪声，经测算产生的噪声在50-60dB之间，达到《城市区域环境噪声标准》（GB3096—2008）2类标准，对周围的环境影响不大。</w:t>
      </w:r>
    </w:p>
    <w:p>
      <w:pPr>
        <w:spacing w:line="360" w:lineRule="auto"/>
        <w:ind w:firstLine="560" w:firstLineChars="200"/>
        <w:rPr>
          <w:rFonts w:hint="eastAsia" w:ascii="宋体" w:hAnsi="宋体"/>
          <w:sz w:val="28"/>
          <w:szCs w:val="28"/>
        </w:rPr>
      </w:pPr>
      <w:r>
        <w:rPr>
          <w:rFonts w:hint="eastAsia" w:ascii="宋体" w:hAnsi="宋体"/>
          <w:sz w:val="28"/>
          <w:szCs w:val="28"/>
        </w:rPr>
        <w:t>c.大气环境影响分析</w:t>
      </w:r>
    </w:p>
    <w:p>
      <w:pPr>
        <w:spacing w:line="360" w:lineRule="auto"/>
        <w:ind w:firstLine="560" w:firstLineChars="200"/>
        <w:rPr>
          <w:rFonts w:hint="eastAsia" w:ascii="宋体" w:hAnsi="宋体"/>
          <w:sz w:val="28"/>
          <w:szCs w:val="28"/>
        </w:rPr>
      </w:pPr>
      <w:r>
        <w:rPr>
          <w:rFonts w:hint="eastAsia" w:ascii="宋体" w:hAnsi="宋体"/>
          <w:sz w:val="28"/>
          <w:szCs w:val="28"/>
        </w:rPr>
        <w:t>大气质量执行《环境空气质量标准》GB3095-1996。卫生间会产生少量废气污染，但采用卫生间排气净化，可减少废气污染。项目的实施不会对周围环境造成大的影响。</w:t>
      </w:r>
    </w:p>
    <w:p>
      <w:pPr>
        <w:spacing w:line="360" w:lineRule="auto"/>
        <w:ind w:firstLine="560" w:firstLineChars="200"/>
        <w:rPr>
          <w:rFonts w:hint="eastAsia" w:ascii="宋体" w:hAnsi="宋体"/>
          <w:sz w:val="28"/>
          <w:szCs w:val="28"/>
        </w:rPr>
      </w:pPr>
      <w:r>
        <w:rPr>
          <w:rFonts w:hint="eastAsia" w:ascii="宋体" w:hAnsi="宋体"/>
          <w:sz w:val="28"/>
          <w:szCs w:val="28"/>
        </w:rPr>
        <w:t>d. 固体废弃物影响分析</w:t>
      </w:r>
    </w:p>
    <w:p>
      <w:pPr>
        <w:spacing w:line="360" w:lineRule="auto"/>
        <w:ind w:firstLine="560" w:firstLineChars="200"/>
        <w:rPr>
          <w:rFonts w:hint="eastAsia" w:ascii="宋体" w:hAnsi="宋体"/>
          <w:sz w:val="28"/>
          <w:szCs w:val="28"/>
        </w:rPr>
      </w:pPr>
      <w:r>
        <w:rPr>
          <w:rFonts w:hint="eastAsia" w:ascii="宋体" w:hAnsi="宋体"/>
          <w:sz w:val="28"/>
          <w:szCs w:val="28"/>
        </w:rPr>
        <w:t>本项目产生的固体废弃物主要是生活垃圾等固体废弃物。生活垃圾集中收集后交由环卫部门处理。</w:t>
      </w:r>
    </w:p>
    <w:p>
      <w:pPr>
        <w:spacing w:line="360" w:lineRule="auto"/>
        <w:ind w:firstLine="560" w:firstLineChars="200"/>
        <w:rPr>
          <w:rFonts w:hint="eastAsia" w:ascii="宋体" w:hAnsi="宋体"/>
          <w:sz w:val="28"/>
          <w:szCs w:val="28"/>
        </w:rPr>
      </w:pPr>
      <w:r>
        <w:rPr>
          <w:rFonts w:hint="eastAsia" w:ascii="宋体" w:hAnsi="宋体"/>
          <w:sz w:val="28"/>
          <w:szCs w:val="28"/>
        </w:rPr>
        <w:t>③项目建设期环境影响分析及措施</w:t>
      </w:r>
    </w:p>
    <w:p>
      <w:pPr>
        <w:spacing w:line="360" w:lineRule="auto"/>
        <w:ind w:firstLine="560" w:firstLineChars="200"/>
        <w:rPr>
          <w:rFonts w:hint="eastAsia" w:ascii="宋体" w:hAnsi="宋体"/>
          <w:sz w:val="28"/>
          <w:szCs w:val="28"/>
        </w:rPr>
      </w:pPr>
      <w:r>
        <w:rPr>
          <w:rFonts w:hint="eastAsia" w:ascii="宋体" w:hAnsi="宋体"/>
          <w:sz w:val="28"/>
          <w:szCs w:val="28"/>
        </w:rPr>
        <w:t>a. 项目建设对环境影响主要有以下几方面：</w:t>
      </w:r>
    </w:p>
    <w:p>
      <w:pPr>
        <w:spacing w:line="360" w:lineRule="auto"/>
        <w:ind w:firstLine="560" w:firstLineChars="200"/>
        <w:rPr>
          <w:rFonts w:hint="eastAsia" w:ascii="宋体" w:hAnsi="宋体"/>
          <w:sz w:val="28"/>
          <w:szCs w:val="28"/>
        </w:rPr>
      </w:pPr>
      <w:r>
        <w:rPr>
          <w:rFonts w:hint="eastAsia" w:ascii="宋体" w:hAnsi="宋体"/>
          <w:sz w:val="28"/>
          <w:szCs w:val="28"/>
        </w:rPr>
        <w:t>·施工扬尘对环境的影响：在整个施工期，产生扬尘的作业有场地平整、回填、建材运输、露天堆放、装卸和搅拌等过程，如遇干旱无雨季节，加上大风，施工扬尘将更严重。</w:t>
      </w:r>
    </w:p>
    <w:p>
      <w:pPr>
        <w:spacing w:line="360" w:lineRule="auto"/>
        <w:ind w:firstLine="560" w:firstLineChars="200"/>
        <w:rPr>
          <w:rFonts w:hint="eastAsia" w:ascii="宋体" w:hAnsi="宋体"/>
          <w:sz w:val="28"/>
          <w:szCs w:val="28"/>
        </w:rPr>
      </w:pPr>
      <w:r>
        <w:rPr>
          <w:rFonts w:hint="eastAsia" w:ascii="宋体" w:hAnsi="宋体"/>
          <w:sz w:val="28"/>
          <w:szCs w:val="28"/>
        </w:rPr>
        <w:t>·施工噪声对环境的影响：施工的噪声源主要有挖掘机、水泥搅拌机、吊车、砂轮机、电钻、切割机及各种车辆等。</w:t>
      </w:r>
    </w:p>
    <w:p>
      <w:pPr>
        <w:spacing w:line="360" w:lineRule="auto"/>
        <w:ind w:firstLine="560" w:firstLineChars="200"/>
        <w:rPr>
          <w:rFonts w:hint="eastAsia" w:ascii="宋体" w:hAnsi="宋体"/>
          <w:sz w:val="28"/>
          <w:szCs w:val="28"/>
        </w:rPr>
      </w:pPr>
      <w:r>
        <w:rPr>
          <w:rFonts w:hint="eastAsia" w:ascii="宋体" w:hAnsi="宋体"/>
          <w:sz w:val="28"/>
          <w:szCs w:val="28"/>
        </w:rPr>
        <w:t>·施工排水、弃土及垃圾对环境的影响：施工期间，施工人员日常生活需排放一定量的生活废水；施工过程中将产生一定量的建筑废弃物，同时在建设施工期间需要挖土、运输弃土，运输各种土筑材料，如砂石、水泥、砖瓦、木料等。</w:t>
      </w:r>
    </w:p>
    <w:p>
      <w:pPr>
        <w:spacing w:line="360" w:lineRule="auto"/>
        <w:ind w:firstLine="560" w:firstLineChars="200"/>
        <w:rPr>
          <w:rFonts w:hint="eastAsia" w:ascii="宋体" w:hAnsi="宋体"/>
          <w:sz w:val="28"/>
          <w:szCs w:val="28"/>
        </w:rPr>
      </w:pPr>
      <w:r>
        <w:rPr>
          <w:rFonts w:hint="eastAsia" w:ascii="宋体" w:hAnsi="宋体"/>
          <w:sz w:val="28"/>
          <w:szCs w:val="28"/>
        </w:rPr>
        <w:t>b.施工期间环境保护措施</w:t>
      </w:r>
    </w:p>
    <w:p>
      <w:pPr>
        <w:spacing w:line="360" w:lineRule="auto"/>
        <w:ind w:firstLine="560" w:firstLineChars="200"/>
        <w:rPr>
          <w:rFonts w:hint="eastAsia" w:ascii="宋体" w:hAnsi="宋体"/>
          <w:sz w:val="28"/>
          <w:szCs w:val="28"/>
        </w:rPr>
      </w:pPr>
      <w:r>
        <w:rPr>
          <w:rFonts w:hint="eastAsia" w:ascii="宋体" w:hAnsi="宋体"/>
          <w:sz w:val="28"/>
          <w:szCs w:val="28"/>
        </w:rPr>
        <w:t>·施工扬尘。对运输黄砂、石子、建筑垃圾等车辆应严密覆盖，严防散落；对施工场地和道路应实施洒水抑尘；对露天砂石等建筑材料堆场必须用帆布或塑料纺织布封盖；禁止在大风天气进行建材的露天堆放及搅拌作业。</w:t>
      </w:r>
    </w:p>
    <w:p>
      <w:pPr>
        <w:spacing w:line="360" w:lineRule="auto"/>
        <w:ind w:firstLine="560" w:firstLineChars="200"/>
        <w:rPr>
          <w:rFonts w:hint="eastAsia" w:ascii="宋体" w:hAnsi="宋体"/>
          <w:sz w:val="28"/>
          <w:szCs w:val="28"/>
        </w:rPr>
      </w:pPr>
      <w:r>
        <w:rPr>
          <w:rFonts w:hint="eastAsia" w:ascii="宋体" w:hAnsi="宋体"/>
          <w:sz w:val="28"/>
          <w:szCs w:val="28"/>
        </w:rPr>
        <w:t xml:space="preserve">·施工噪音。加强高噪声施工设备的维修管理，减少设备非正常的噪声；施工车辆的运行路线和时间尽量避开噪声敏感区和噪声敏感时段；除抢修、抢险、施工工艺或特殊要求必须连续作业外，尽量不在夜间进行产生环境噪声污染的施工作业。因特殊要求需夜间施工的，应安排在假期进行，并报环保部门审批，且告示附近居民，施工噪声标准执行《建筑施工场界噪声限值》中的标准的规定。    </w:t>
      </w:r>
    </w:p>
    <w:p>
      <w:pPr>
        <w:spacing w:line="360" w:lineRule="auto"/>
        <w:ind w:firstLine="560" w:firstLineChars="200"/>
        <w:rPr>
          <w:rFonts w:hint="eastAsia" w:ascii="宋体" w:hAnsi="宋体"/>
          <w:sz w:val="28"/>
          <w:szCs w:val="28"/>
        </w:rPr>
      </w:pPr>
      <w:r>
        <w:rPr>
          <w:rFonts w:hint="eastAsia" w:ascii="宋体" w:hAnsi="宋体"/>
          <w:sz w:val="28"/>
          <w:szCs w:val="28"/>
        </w:rPr>
        <w:t>·施工排水、弃土及垃圾。施工过程中的废水、机械清洗废水、施工队伍和生活污水应经处理后方可排放；不能综合利用的建筑垃圾及多余建筑材料，不能随意堆放，应及时清运、妥善处理。</w:t>
      </w:r>
    </w:p>
    <w:p>
      <w:pPr>
        <w:spacing w:line="360" w:lineRule="auto"/>
        <w:ind w:firstLine="562" w:firstLineChars="200"/>
        <w:outlineLvl w:val="1"/>
        <w:rPr>
          <w:rFonts w:hint="eastAsia" w:ascii="宋体" w:hAnsi="宋体"/>
          <w:b/>
          <w:sz w:val="28"/>
          <w:szCs w:val="28"/>
        </w:rPr>
      </w:pPr>
      <w:bookmarkStart w:id="22" w:name="_Toc432430951"/>
      <w:bookmarkStart w:id="23" w:name="_Toc496105204"/>
      <w:r>
        <w:rPr>
          <w:rFonts w:hint="eastAsia" w:ascii="宋体" w:hAnsi="宋体"/>
          <w:b/>
          <w:sz w:val="28"/>
          <w:szCs w:val="28"/>
        </w:rPr>
        <w:t>二、消防安全卫生</w:t>
      </w:r>
      <w:bookmarkEnd w:id="22"/>
      <w:bookmarkEnd w:id="23"/>
    </w:p>
    <w:p>
      <w:pPr>
        <w:spacing w:line="360" w:lineRule="auto"/>
        <w:ind w:firstLine="560" w:firstLineChars="200"/>
        <w:rPr>
          <w:rFonts w:hint="eastAsia" w:ascii="宋体" w:hAnsi="宋体"/>
          <w:sz w:val="28"/>
          <w:szCs w:val="28"/>
        </w:rPr>
      </w:pPr>
      <w:r>
        <w:rPr>
          <w:rFonts w:hint="eastAsia" w:ascii="宋体" w:hAnsi="宋体"/>
          <w:sz w:val="28"/>
          <w:szCs w:val="28"/>
        </w:rPr>
        <w:t>为保证生产和使用安全，工程项目消防设计应严格贯彻执行国家颁布的现行各种消防规范，以防止和减少火灾危害，建筑防火技术，应贯彻“预防为主，消防结合”的方针，积极采用先进的防火技术，做到安全生产，方便使用，经济合理。采取以下措施：</w:t>
      </w:r>
    </w:p>
    <w:p>
      <w:pPr>
        <w:spacing w:line="360" w:lineRule="auto"/>
        <w:ind w:firstLine="560" w:firstLineChars="200"/>
        <w:rPr>
          <w:rFonts w:hint="eastAsia" w:ascii="宋体" w:hAnsi="宋体"/>
          <w:sz w:val="28"/>
          <w:szCs w:val="28"/>
        </w:rPr>
      </w:pPr>
      <w:r>
        <w:rPr>
          <w:rFonts w:hint="eastAsia" w:ascii="宋体" w:hAnsi="宋体"/>
          <w:sz w:val="28"/>
          <w:szCs w:val="28"/>
        </w:rPr>
        <w:t>1、在总图布置上，充分利用建筑物的特点，建筑物间均留有符合消防要求的间距及环行通道，可满足消防车使用及人员安全疏散。每隔一定距离设置好消火栓。</w:t>
      </w:r>
    </w:p>
    <w:p>
      <w:pPr>
        <w:spacing w:line="360" w:lineRule="auto"/>
        <w:ind w:firstLine="560" w:firstLineChars="200"/>
        <w:rPr>
          <w:rFonts w:hint="eastAsia" w:ascii="宋体" w:hAnsi="宋体"/>
          <w:sz w:val="28"/>
          <w:szCs w:val="28"/>
        </w:rPr>
      </w:pPr>
      <w:r>
        <w:rPr>
          <w:rFonts w:hint="eastAsia" w:ascii="宋体" w:hAnsi="宋体"/>
          <w:sz w:val="28"/>
          <w:szCs w:val="28"/>
        </w:rPr>
        <w:t>2、在建筑设计中，注重自然通风，按建筑物耐火等级，合理布置建筑物的面积，各建筑物疏散走道和安全出入口按规范设置。建筑物屋顶上，设有防雷措施。</w:t>
      </w:r>
    </w:p>
    <w:p>
      <w:pPr>
        <w:spacing w:line="360" w:lineRule="auto"/>
        <w:ind w:firstLine="560" w:firstLineChars="200"/>
        <w:rPr>
          <w:rFonts w:hint="eastAsia" w:ascii="宋体" w:hAnsi="宋体"/>
          <w:sz w:val="28"/>
          <w:szCs w:val="28"/>
        </w:rPr>
      </w:pPr>
      <w:r>
        <w:rPr>
          <w:rFonts w:hint="eastAsia" w:ascii="宋体" w:hAnsi="宋体"/>
          <w:sz w:val="28"/>
          <w:szCs w:val="28"/>
        </w:rPr>
        <w:t>3、电气安全：各建筑的电缆进线处均应可靠的重复接地，各用电设备不带电的金属外壳、电缆的金属外皮、电线的保护钢管均需与保护线可靠连接，每路照明干线中设有专用接地线，配电箱至插座（箱）回路应设专用接地线。在各建筑物内主要通道和出入口均设应急照明和疏通指示灯。在电气设计中，低压回路采用保护接零设备保护接地，电线做好绝缘保护，移动设备及工具设漏电保护开关。</w:t>
      </w:r>
    </w:p>
    <w:p>
      <w:pPr>
        <w:adjustRightInd w:val="0"/>
        <w:spacing w:line="360" w:lineRule="auto"/>
        <w:ind w:firstLine="560" w:firstLineChars="200"/>
        <w:rPr>
          <w:rFonts w:hint="eastAsia" w:ascii="宋体" w:hAnsi="宋体"/>
          <w:sz w:val="28"/>
          <w:szCs w:val="28"/>
        </w:rPr>
      </w:pPr>
      <w:r>
        <w:rPr>
          <w:rFonts w:hint="eastAsia" w:ascii="宋体" w:hAnsi="宋体"/>
          <w:sz w:val="28"/>
          <w:szCs w:val="28"/>
        </w:rPr>
        <w:t>4、在施工期间，首先加强宣传，使安全生产的观念深入人心，加强安全技术交底；其次制订安全生产操作规程和制度，做好上岗前培训；再次，加强现场管理工作，对于临时用电，严格按照“三级配电、三级保护”原则及“一箱、一机、一闸、一漏保”的要求去实施，切实做好用电设备的接零保护工作。施工期间严格落实“三宝”、“四口”、“五临边”安全措施，确保施工安全。</w:t>
      </w:r>
    </w:p>
    <w:p>
      <w:pPr>
        <w:spacing w:line="360" w:lineRule="auto"/>
        <w:ind w:firstLine="560" w:firstLineChars="200"/>
        <w:rPr>
          <w:rFonts w:hint="eastAsia" w:ascii="宋体" w:hAnsi="宋体"/>
          <w:sz w:val="28"/>
          <w:szCs w:val="28"/>
        </w:rPr>
      </w:pPr>
      <w:r>
        <w:rPr>
          <w:rFonts w:hint="eastAsia" w:ascii="宋体" w:hAnsi="宋体"/>
          <w:sz w:val="28"/>
          <w:szCs w:val="28"/>
        </w:rPr>
        <w:t>5、项目建成后要制定和落实安全措施，加强安全监控，保证职工及群众人、财、物的安全。</w:t>
      </w:r>
    </w:p>
    <w:p>
      <w:pPr>
        <w:spacing w:line="360" w:lineRule="auto"/>
        <w:ind w:firstLine="560" w:firstLineChars="200"/>
        <w:jc w:val="center"/>
        <w:outlineLvl w:val="0"/>
        <w:rPr>
          <w:rFonts w:ascii="宋体" w:hAnsi="宋体"/>
          <w:sz w:val="28"/>
          <w:szCs w:val="28"/>
        </w:rPr>
      </w:pPr>
    </w:p>
    <w:p>
      <w:pPr>
        <w:spacing w:line="360" w:lineRule="auto"/>
        <w:jc w:val="center"/>
        <w:outlineLvl w:val="0"/>
        <w:rPr>
          <w:rFonts w:hint="eastAsia" w:ascii="宋体" w:hAnsi="宋体"/>
          <w:b/>
          <w:sz w:val="52"/>
          <w:szCs w:val="52"/>
        </w:rPr>
      </w:pPr>
      <w:r>
        <w:rPr>
          <w:rFonts w:ascii="宋体" w:hAnsi="宋体"/>
          <w:sz w:val="28"/>
          <w:szCs w:val="28"/>
        </w:rPr>
        <w:br w:type="page"/>
      </w:r>
      <w:bookmarkStart w:id="24" w:name="_Toc432430952"/>
      <w:bookmarkStart w:id="25" w:name="_Toc496105205"/>
      <w:r>
        <w:rPr>
          <w:rFonts w:hint="eastAsia" w:ascii="宋体" w:hAnsi="宋体"/>
          <w:b/>
          <w:sz w:val="52"/>
          <w:szCs w:val="52"/>
        </w:rPr>
        <w:t>第七节   节能方案评价</w:t>
      </w:r>
      <w:bookmarkEnd w:id="24"/>
      <w:bookmarkEnd w:id="25"/>
    </w:p>
    <w:p>
      <w:pPr>
        <w:spacing w:line="360" w:lineRule="auto"/>
        <w:ind w:firstLine="562" w:firstLineChars="200"/>
        <w:outlineLvl w:val="1"/>
        <w:rPr>
          <w:rFonts w:hint="eastAsia" w:ascii="宋体" w:hAnsi="宋体"/>
          <w:b/>
          <w:sz w:val="28"/>
          <w:szCs w:val="28"/>
        </w:rPr>
      </w:pPr>
      <w:bookmarkStart w:id="26" w:name="_Toc432430953"/>
      <w:bookmarkStart w:id="27" w:name="_Toc496105206"/>
      <w:r>
        <w:rPr>
          <w:rFonts w:hint="eastAsia" w:ascii="宋体" w:hAnsi="宋体"/>
          <w:b/>
          <w:sz w:val="28"/>
          <w:szCs w:val="28"/>
        </w:rPr>
        <w:t>一、节能综述</w:t>
      </w:r>
      <w:bookmarkEnd w:id="26"/>
      <w:bookmarkEnd w:id="27"/>
    </w:p>
    <w:p>
      <w:pPr>
        <w:spacing w:line="360" w:lineRule="auto"/>
        <w:ind w:firstLine="560" w:firstLineChars="200"/>
        <w:rPr>
          <w:rFonts w:hint="eastAsia" w:ascii="宋体" w:hAnsi="宋体"/>
          <w:sz w:val="28"/>
          <w:szCs w:val="28"/>
        </w:rPr>
      </w:pPr>
      <w:r>
        <w:rPr>
          <w:rFonts w:hint="eastAsia" w:ascii="宋体" w:hAnsi="宋体"/>
          <w:sz w:val="28"/>
          <w:szCs w:val="28"/>
        </w:rPr>
        <w:t>节约能源是我国的一项基本国策。遵照《中华人民共和国节约能源法》、《浙江省节约能源条例》及《建筑节能工程施工质量验收规范》（GB50411-2007），采用科学的设计、先进的设备来合理使用能源，以尽可能低的能耗取得较大的经济效益和社会效益。同时保持能源、环境与经济的协调发展，本项目将采取具体措施，合理利用和节约能源。</w:t>
      </w:r>
    </w:p>
    <w:p>
      <w:pPr>
        <w:spacing w:line="360" w:lineRule="auto"/>
        <w:ind w:firstLine="562" w:firstLineChars="200"/>
        <w:outlineLvl w:val="1"/>
        <w:rPr>
          <w:rFonts w:hint="eastAsia" w:ascii="宋体" w:hAnsi="宋体"/>
          <w:b/>
          <w:sz w:val="28"/>
          <w:szCs w:val="28"/>
        </w:rPr>
      </w:pPr>
      <w:bookmarkStart w:id="28" w:name="_Toc432430954"/>
      <w:bookmarkStart w:id="29" w:name="_Toc496105207"/>
      <w:r>
        <w:rPr>
          <w:rFonts w:hint="eastAsia" w:ascii="宋体" w:hAnsi="宋体"/>
          <w:b/>
          <w:sz w:val="28"/>
          <w:szCs w:val="28"/>
        </w:rPr>
        <w:t>二、节能措施</w:t>
      </w:r>
      <w:bookmarkEnd w:id="28"/>
      <w:bookmarkEnd w:id="29"/>
    </w:p>
    <w:p>
      <w:pPr>
        <w:spacing w:line="360" w:lineRule="auto"/>
        <w:ind w:firstLine="560" w:firstLineChars="200"/>
        <w:rPr>
          <w:rFonts w:hint="eastAsia" w:ascii="宋体" w:hAnsi="宋体"/>
          <w:sz w:val="28"/>
          <w:szCs w:val="28"/>
        </w:rPr>
      </w:pPr>
      <w:r>
        <w:rPr>
          <w:rFonts w:hint="eastAsia" w:ascii="宋体" w:hAnsi="宋体"/>
          <w:sz w:val="28"/>
          <w:szCs w:val="28"/>
        </w:rPr>
        <w:t>按照国家和浙江省有关节约能源及合理用能的现行政策规定，本项目采取的主要节能措施如下：</w:t>
      </w:r>
    </w:p>
    <w:p>
      <w:pPr>
        <w:spacing w:line="360" w:lineRule="auto"/>
        <w:ind w:firstLine="560" w:firstLineChars="200"/>
        <w:rPr>
          <w:rFonts w:hint="eastAsia" w:ascii="宋体" w:hAnsi="宋体"/>
          <w:sz w:val="28"/>
          <w:szCs w:val="28"/>
        </w:rPr>
      </w:pPr>
      <w:r>
        <w:rPr>
          <w:rFonts w:hint="eastAsia" w:ascii="宋体" w:hAnsi="宋体"/>
          <w:sz w:val="28"/>
          <w:szCs w:val="28"/>
        </w:rPr>
        <w:t>1、总体布局符合规划要求，主立面朝南，利于节能。变配电尽量靠近负荷中心，以减少能量损耗，同时选用节能安全型的电力变压器及配电设施。</w:t>
      </w:r>
    </w:p>
    <w:p>
      <w:pPr>
        <w:spacing w:line="360" w:lineRule="auto"/>
        <w:ind w:firstLine="560" w:firstLineChars="200"/>
        <w:rPr>
          <w:rFonts w:hint="eastAsia" w:ascii="宋体" w:hAnsi="宋体"/>
          <w:sz w:val="28"/>
          <w:szCs w:val="28"/>
        </w:rPr>
      </w:pPr>
      <w:r>
        <w:rPr>
          <w:rFonts w:hint="eastAsia" w:ascii="宋体" w:hAnsi="宋体"/>
          <w:sz w:val="28"/>
          <w:szCs w:val="28"/>
        </w:rPr>
        <w:t>2、建筑物外墙节能。内外墙采用页岩多孔砖。外墙保温采用30mm厚的无机保温砂浆（必须经浙江省建设行政主管部门认可备案的新型外墙外保温体系）。</w:t>
      </w:r>
    </w:p>
    <w:p>
      <w:pPr>
        <w:spacing w:line="360" w:lineRule="auto"/>
        <w:ind w:firstLine="560" w:firstLineChars="200"/>
        <w:rPr>
          <w:rFonts w:hint="eastAsia" w:ascii="宋体" w:hAnsi="宋体"/>
          <w:sz w:val="28"/>
          <w:szCs w:val="28"/>
        </w:rPr>
      </w:pPr>
      <w:r>
        <w:rPr>
          <w:rFonts w:hint="eastAsia" w:ascii="宋体" w:hAnsi="宋体"/>
          <w:sz w:val="28"/>
          <w:szCs w:val="28"/>
        </w:rPr>
        <w:t>3、建筑门窗及幕墙节能。采用断桥隔热型节能型材，玻璃采用中空玻璃，提高建筑的保温节能功能。建筑设计充分利用自然采光和通风，可以降低单位建筑面积能耗。</w:t>
      </w:r>
    </w:p>
    <w:p>
      <w:pPr>
        <w:spacing w:line="360" w:lineRule="auto"/>
        <w:ind w:firstLine="560" w:firstLineChars="200"/>
        <w:rPr>
          <w:rFonts w:hint="eastAsia" w:ascii="宋体" w:hAnsi="宋体"/>
          <w:sz w:val="28"/>
          <w:szCs w:val="28"/>
        </w:rPr>
      </w:pPr>
      <w:r>
        <w:rPr>
          <w:rFonts w:hint="eastAsia" w:ascii="宋体" w:hAnsi="宋体"/>
          <w:sz w:val="28"/>
          <w:szCs w:val="28"/>
        </w:rPr>
        <w:t>4、建筑屋面节能。钢筋混凝土屋面采用40mm厚挤塑保温板，提高建筑物的保温功能。</w:t>
      </w:r>
    </w:p>
    <w:p>
      <w:pPr>
        <w:spacing w:line="360" w:lineRule="auto"/>
        <w:ind w:firstLine="560" w:firstLineChars="200"/>
        <w:rPr>
          <w:rFonts w:hint="eastAsia" w:ascii="宋体" w:hAnsi="宋体"/>
          <w:sz w:val="28"/>
          <w:szCs w:val="28"/>
        </w:rPr>
      </w:pPr>
      <w:r>
        <w:rPr>
          <w:rFonts w:hint="eastAsia" w:ascii="宋体" w:hAnsi="宋体"/>
          <w:sz w:val="28"/>
          <w:szCs w:val="28"/>
        </w:rPr>
        <w:t>5、电气节能。照明灯具采用高光效、高显色、低眩光、长寿命格栅日光灯；日光灯采用长寿命、低损耗的电子镇流器。选用国家推荐的节能型产品和设备，楼梯间采用红外感应或其它节能照明开关，室外照明灯具控制选用定时或光敏开关控制，以达到最大的节能效果，实现绿色照明。达到自动调节、降低能耗。</w:t>
      </w:r>
    </w:p>
    <w:p>
      <w:pPr>
        <w:spacing w:line="360" w:lineRule="auto"/>
        <w:ind w:firstLine="560" w:firstLineChars="200"/>
        <w:rPr>
          <w:rFonts w:hint="eastAsia" w:ascii="宋体" w:hAnsi="宋体"/>
          <w:sz w:val="28"/>
          <w:szCs w:val="28"/>
        </w:rPr>
      </w:pPr>
      <w:r>
        <w:rPr>
          <w:rFonts w:hint="eastAsia" w:ascii="宋体" w:hAnsi="宋体"/>
          <w:sz w:val="28"/>
          <w:szCs w:val="28"/>
        </w:rPr>
        <w:t>6、给排水节能。卫生洁具采用节能型器具。建筑物给尽量以节约用水，对水能源尽量循环使用，尽量少排放。</w:t>
      </w:r>
    </w:p>
    <w:p>
      <w:pPr>
        <w:spacing w:line="360" w:lineRule="auto"/>
        <w:ind w:firstLine="560" w:firstLineChars="200"/>
        <w:rPr>
          <w:rFonts w:hint="eastAsia" w:ascii="宋体" w:hAnsi="宋体"/>
          <w:sz w:val="28"/>
          <w:szCs w:val="28"/>
        </w:rPr>
      </w:pPr>
      <w:r>
        <w:rPr>
          <w:rFonts w:hint="eastAsia" w:ascii="宋体" w:hAnsi="宋体"/>
          <w:sz w:val="28"/>
          <w:szCs w:val="28"/>
        </w:rPr>
        <w:t>项目实施过程中，各个方面综合考虑节能因素，做到项目实施与节能措施同步进行。</w:t>
      </w:r>
    </w:p>
    <w:p>
      <w:pPr>
        <w:spacing w:line="360" w:lineRule="auto"/>
        <w:ind w:firstLine="602" w:firstLineChars="200"/>
        <w:rPr>
          <w:rFonts w:hint="eastAsia" w:ascii="宋体" w:hAnsi="宋体" w:cs="宋体"/>
          <w:b/>
          <w:sz w:val="30"/>
          <w:szCs w:val="30"/>
        </w:rPr>
      </w:pPr>
    </w:p>
    <w:p>
      <w:pPr>
        <w:spacing w:line="360" w:lineRule="auto"/>
        <w:jc w:val="center"/>
        <w:outlineLvl w:val="0"/>
        <w:rPr>
          <w:rFonts w:hint="eastAsia" w:ascii="宋体" w:hAnsi="宋体" w:cs="宋体"/>
          <w:b/>
          <w:sz w:val="52"/>
          <w:szCs w:val="52"/>
        </w:rPr>
      </w:pPr>
      <w:r>
        <w:rPr>
          <w:rFonts w:ascii="宋体" w:hAnsi="宋体" w:cs="宋体"/>
          <w:b/>
          <w:sz w:val="30"/>
          <w:szCs w:val="30"/>
        </w:rPr>
        <w:br w:type="page"/>
      </w:r>
      <w:bookmarkStart w:id="30" w:name="_Toc496105208"/>
      <w:bookmarkStart w:id="31" w:name="_Toc432430955"/>
      <w:r>
        <w:rPr>
          <w:rFonts w:hint="eastAsia" w:ascii="宋体" w:hAnsi="宋体" w:cs="宋体"/>
          <w:b/>
          <w:sz w:val="52"/>
          <w:szCs w:val="52"/>
        </w:rPr>
        <w:t>第八节   水土保持</w:t>
      </w:r>
      <w:bookmarkEnd w:id="30"/>
      <w:bookmarkEnd w:id="31"/>
    </w:p>
    <w:p>
      <w:pPr>
        <w:spacing w:line="360" w:lineRule="auto"/>
        <w:ind w:firstLine="560" w:firstLineChars="200"/>
        <w:rPr>
          <w:rFonts w:hint="eastAsia" w:ascii="宋体" w:hAnsi="宋体"/>
          <w:sz w:val="28"/>
          <w:szCs w:val="28"/>
        </w:rPr>
      </w:pPr>
      <w:r>
        <w:rPr>
          <w:rFonts w:hint="eastAsia" w:ascii="宋体" w:hAnsi="宋体"/>
          <w:sz w:val="28"/>
          <w:szCs w:val="28"/>
        </w:rPr>
        <w:t>项目在施工建设中的地基开挖及施工车辆的频繁往来将不可避免地损坏原土地的自然地貌和地表植被，损坏水土保持设施，导致水土流失，这种土壤侵蚀和水土流失现象尤其是在梅雨季节和台风频发的强降水季节变得更为突出，因此要严格做好各项水土保持措施，处理好场地的排水，防止发生水土流失，并接受水土保持监督管理机构的监督检查。</w:t>
      </w:r>
    </w:p>
    <w:p>
      <w:pPr>
        <w:spacing w:line="360" w:lineRule="auto"/>
        <w:ind w:firstLine="560" w:firstLineChars="200"/>
        <w:rPr>
          <w:rFonts w:ascii="宋体" w:hAnsi="宋体"/>
          <w:sz w:val="28"/>
          <w:szCs w:val="28"/>
        </w:rPr>
      </w:pPr>
      <w:r>
        <w:rPr>
          <w:rFonts w:hint="eastAsia" w:ascii="宋体" w:hAnsi="宋体"/>
          <w:sz w:val="28"/>
          <w:szCs w:val="28"/>
        </w:rPr>
        <w:t>施工建设过程所需石料填方在石料运输途中，应防止石料抛洒路面造成新的水土流失；施工过程中，应尽量做到挖填同步；完善排水设施，筑好排水沟，有效汇集水流，避免水流冲走砂土，破坏周边水土。施工结束后，应及时对场地进行平整和复原；按照要求及时建设好草皮及植树绿化工作，以保护当地的自然生态环境。</w:t>
      </w:r>
    </w:p>
    <w:p>
      <w:pPr>
        <w:spacing w:line="360" w:lineRule="auto"/>
        <w:jc w:val="center"/>
        <w:outlineLvl w:val="0"/>
        <w:rPr>
          <w:rFonts w:hint="eastAsia" w:ascii="宋体" w:hAnsi="宋体" w:cs="宋体"/>
          <w:b/>
          <w:sz w:val="52"/>
          <w:szCs w:val="52"/>
        </w:rPr>
      </w:pPr>
      <w:r>
        <w:rPr>
          <w:rFonts w:ascii="宋体" w:hAnsi="宋体"/>
          <w:sz w:val="28"/>
          <w:szCs w:val="28"/>
        </w:rPr>
        <w:br w:type="column"/>
      </w:r>
      <w:bookmarkStart w:id="32" w:name="_Toc496105209"/>
      <w:r>
        <w:rPr>
          <w:rFonts w:hint="eastAsia" w:ascii="宋体" w:hAnsi="宋体" w:cs="宋体"/>
          <w:b/>
          <w:sz w:val="52"/>
          <w:szCs w:val="52"/>
        </w:rPr>
        <w:t>第九节   项目组织机构与工程管理</w:t>
      </w:r>
      <w:bookmarkEnd w:id="32"/>
    </w:p>
    <w:p>
      <w:pPr>
        <w:spacing w:line="360" w:lineRule="auto"/>
        <w:ind w:firstLine="562" w:firstLineChars="200"/>
        <w:outlineLvl w:val="1"/>
        <w:rPr>
          <w:rFonts w:hint="eastAsia" w:ascii="宋体" w:hAnsi="宋体" w:cs="宋体"/>
          <w:b/>
          <w:sz w:val="28"/>
          <w:szCs w:val="28"/>
        </w:rPr>
      </w:pPr>
      <w:bookmarkStart w:id="33" w:name="_Toc496105210"/>
      <w:r>
        <w:rPr>
          <w:rFonts w:hint="eastAsia" w:ascii="宋体" w:hAnsi="宋体" w:cs="宋体"/>
          <w:b/>
          <w:sz w:val="28"/>
          <w:szCs w:val="28"/>
        </w:rPr>
        <w:t>一、工程实施组织机构</w:t>
      </w:r>
      <w:bookmarkEnd w:id="33"/>
    </w:p>
    <w:p>
      <w:pPr>
        <w:spacing w:line="360" w:lineRule="auto"/>
        <w:ind w:firstLine="560" w:firstLineChars="200"/>
        <w:rPr>
          <w:rFonts w:hint="eastAsia" w:ascii="宋体" w:hAnsi="宋体" w:cs="宋体"/>
          <w:sz w:val="28"/>
          <w:szCs w:val="28"/>
        </w:rPr>
      </w:pPr>
      <w:r>
        <w:rPr>
          <w:rFonts w:hint="eastAsia" w:ascii="宋体" w:hAnsi="宋体" w:cs="宋体"/>
          <w:sz w:val="28"/>
          <w:szCs w:val="28"/>
        </w:rPr>
        <w:t>本建设项目由</w:t>
      </w:r>
      <w:r>
        <w:rPr>
          <w:rFonts w:hint="eastAsia" w:ascii="宋体" w:hAnsi="宋体"/>
          <w:sz w:val="28"/>
          <w:szCs w:val="28"/>
        </w:rPr>
        <w:t>赤城街道栖霞小学</w:t>
      </w:r>
      <w:r>
        <w:rPr>
          <w:rFonts w:hint="eastAsia" w:ascii="宋体" w:hAnsi="宋体" w:cs="宋体"/>
          <w:sz w:val="28"/>
          <w:szCs w:val="28"/>
        </w:rPr>
        <w:t>组织实施。为了做好本项目的前期策划、施工组织准备及施工管理等工作，</w:t>
      </w:r>
      <w:r>
        <w:rPr>
          <w:rFonts w:hint="eastAsia" w:ascii="宋体" w:hAnsi="宋体"/>
          <w:sz w:val="28"/>
          <w:szCs w:val="28"/>
        </w:rPr>
        <w:t>赤城街道栖霞小学</w:t>
      </w:r>
      <w:r>
        <w:rPr>
          <w:rFonts w:hint="eastAsia" w:ascii="宋体" w:hAnsi="宋体" w:cs="宋体"/>
          <w:sz w:val="28"/>
          <w:szCs w:val="28"/>
        </w:rPr>
        <w:t>应抽调专业人员，组建专门的工程建设领导小组，负责项目建设的各项具体工作。</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本项目实施周期较长，为了确保项目的顺利实施，</w:t>
      </w:r>
      <w:r>
        <w:rPr>
          <w:rFonts w:hint="eastAsia" w:ascii="宋体" w:hAnsi="宋体"/>
          <w:sz w:val="28"/>
          <w:szCs w:val="28"/>
        </w:rPr>
        <w:t>赤城街道栖霞小学</w:t>
      </w:r>
      <w:r>
        <w:rPr>
          <w:rFonts w:hint="eastAsia" w:ascii="宋体" w:hAnsi="宋体" w:cs="宋体"/>
          <w:sz w:val="28"/>
          <w:szCs w:val="28"/>
        </w:rPr>
        <w:t>在项目管理的过程中，须加强组织建设，计划管理，确保组织、人员、资金到位。同时，在项目建设过程中，要严格执行工程招标投标制度及工程监理制度。保证项目的实施效率和质量。另外，要建立相应的监督检查制度，定期公布工程的实施进度、资金使用等情况，并接受规划、土地、发改、财政、审计、教育、质量监督等部门的监督。</w:t>
      </w:r>
    </w:p>
    <w:p>
      <w:pPr>
        <w:numPr>
          <w:ilvl w:val="0"/>
          <w:numId w:val="3"/>
        </w:numPr>
        <w:spacing w:line="360" w:lineRule="auto"/>
        <w:ind w:left="0" w:firstLine="562" w:firstLineChars="200"/>
        <w:outlineLvl w:val="1"/>
        <w:rPr>
          <w:rFonts w:hint="eastAsia" w:ascii="宋体" w:hAnsi="宋体" w:cs="宋体"/>
          <w:b/>
          <w:sz w:val="28"/>
          <w:szCs w:val="28"/>
        </w:rPr>
      </w:pPr>
      <w:bookmarkStart w:id="34" w:name="_Toc496105211"/>
      <w:r>
        <w:rPr>
          <w:rFonts w:hint="eastAsia" w:ascii="宋体" w:hAnsi="宋体" w:cs="宋体"/>
          <w:b/>
          <w:sz w:val="28"/>
          <w:szCs w:val="28"/>
        </w:rPr>
        <w:t>工程实施管理</w:t>
      </w:r>
      <w:bookmarkEnd w:id="34"/>
    </w:p>
    <w:p>
      <w:pPr>
        <w:spacing w:line="360" w:lineRule="auto"/>
        <w:ind w:firstLine="560" w:firstLineChars="200"/>
        <w:rPr>
          <w:rFonts w:hint="eastAsia" w:ascii="宋体" w:hAnsi="宋体" w:cs="宋体"/>
          <w:sz w:val="28"/>
          <w:szCs w:val="28"/>
        </w:rPr>
      </w:pPr>
      <w:r>
        <w:rPr>
          <w:rFonts w:hint="eastAsia" w:ascii="宋体" w:hAnsi="宋体" w:cs="宋体"/>
          <w:sz w:val="28"/>
          <w:szCs w:val="28"/>
        </w:rPr>
        <w:t>1、招标投标管理</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根据《中华</w:t>
      </w:r>
      <w:r>
        <w:rPr>
          <w:rFonts w:hint="eastAsia" w:ascii="宋体" w:hAnsi="宋体" w:cs="宋体"/>
          <w:sz w:val="28"/>
          <w:szCs w:val="28"/>
          <w:lang w:val="en-US" w:eastAsia="zh-CN"/>
        </w:rPr>
        <w:t>人民</w:t>
      </w:r>
      <w:bookmarkStart w:id="92" w:name="_GoBack"/>
      <w:bookmarkEnd w:id="92"/>
      <w:r>
        <w:rPr>
          <w:rFonts w:hint="eastAsia" w:ascii="宋体" w:hAnsi="宋体" w:cs="宋体"/>
          <w:sz w:val="28"/>
          <w:szCs w:val="28"/>
        </w:rPr>
        <w:t>共和国招标投标法》，本项目的勘察、设计、施工、监理及重要的设备、材料采购活动必须进行招投标。</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2、施工管理</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主要针对本工程的质量安全、实施进度和财务支付三个方面。为确保本工程的设计和施工质量，在招标选择施工单位时，要特别注意对其综合实力、经验能力及信誉等方面的考察把关。</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3、工程监理</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工程监理主要包括三个方面：质量安全监理、进度计划管理、涉及投资的计量支付审核三大部分。质量安全是工程监理的关键。工程在实行公开招标择优选定后，再通过招标委托有综合实力的监理公司对本建设项目的实行施工全过程的监理（包含保修阶段）。</w:t>
      </w:r>
    </w:p>
    <w:p>
      <w:pPr>
        <w:spacing w:line="360" w:lineRule="auto"/>
        <w:jc w:val="center"/>
        <w:outlineLvl w:val="0"/>
        <w:rPr>
          <w:rFonts w:hint="eastAsia" w:ascii="宋体" w:hAnsi="宋体" w:cs="宋体"/>
          <w:b/>
          <w:sz w:val="52"/>
          <w:szCs w:val="52"/>
        </w:rPr>
      </w:pPr>
      <w:r>
        <w:rPr>
          <w:rFonts w:ascii="宋体" w:hAnsi="宋体" w:cs="宋体"/>
          <w:b/>
          <w:sz w:val="30"/>
          <w:szCs w:val="30"/>
        </w:rPr>
        <w:br w:type="page"/>
      </w:r>
      <w:bookmarkStart w:id="35" w:name="_Toc496105212"/>
      <w:r>
        <w:rPr>
          <w:rFonts w:hint="eastAsia" w:ascii="宋体" w:hAnsi="宋体" w:cs="宋体"/>
          <w:b/>
          <w:sz w:val="52"/>
          <w:szCs w:val="52"/>
        </w:rPr>
        <w:t>第十节   项目的实施进度</w:t>
      </w:r>
      <w:bookmarkEnd w:id="35"/>
    </w:p>
    <w:p>
      <w:pPr>
        <w:spacing w:line="360" w:lineRule="auto"/>
        <w:ind w:firstLine="562" w:firstLineChars="200"/>
        <w:outlineLvl w:val="1"/>
        <w:rPr>
          <w:rFonts w:hint="eastAsia" w:ascii="宋体" w:hAnsi="宋体" w:cs="宋体"/>
          <w:b/>
          <w:sz w:val="28"/>
          <w:szCs w:val="28"/>
        </w:rPr>
      </w:pPr>
      <w:bookmarkStart w:id="36" w:name="_Toc496105213"/>
      <w:r>
        <w:rPr>
          <w:rFonts w:hint="eastAsia" w:ascii="宋体" w:hAnsi="宋体" w:cs="宋体"/>
          <w:b/>
          <w:sz w:val="28"/>
          <w:szCs w:val="28"/>
        </w:rPr>
        <w:t>一、项目的建设周期</w:t>
      </w:r>
      <w:bookmarkEnd w:id="36"/>
    </w:p>
    <w:p>
      <w:pPr>
        <w:spacing w:line="360" w:lineRule="auto"/>
        <w:ind w:firstLine="560" w:firstLineChars="200"/>
        <w:rPr>
          <w:rFonts w:hint="eastAsia" w:ascii="宋体" w:hAnsi="宋体" w:cs="宋体"/>
          <w:sz w:val="28"/>
          <w:szCs w:val="28"/>
        </w:rPr>
      </w:pPr>
      <w:r>
        <w:rPr>
          <w:rFonts w:hint="eastAsia" w:ascii="宋体" w:hAnsi="宋体" w:cs="宋体"/>
          <w:sz w:val="28"/>
          <w:szCs w:val="28"/>
        </w:rPr>
        <w:t xml:space="preserve"> 本项目建设期约32个月。</w:t>
      </w:r>
    </w:p>
    <w:p>
      <w:pPr>
        <w:spacing w:line="360" w:lineRule="auto"/>
        <w:ind w:firstLine="562" w:firstLineChars="200"/>
        <w:outlineLvl w:val="1"/>
        <w:rPr>
          <w:rFonts w:hint="eastAsia" w:ascii="宋体" w:hAnsi="宋体" w:cs="宋体"/>
          <w:b/>
          <w:sz w:val="28"/>
          <w:szCs w:val="28"/>
        </w:rPr>
      </w:pPr>
      <w:bookmarkStart w:id="37" w:name="_Toc496105214"/>
      <w:r>
        <w:rPr>
          <w:rFonts w:hint="eastAsia" w:ascii="宋体" w:hAnsi="宋体" w:cs="宋体"/>
          <w:b/>
          <w:sz w:val="28"/>
          <w:szCs w:val="28"/>
        </w:rPr>
        <w:t>二、项目的进度计划</w:t>
      </w:r>
      <w:bookmarkEnd w:id="37"/>
    </w:p>
    <w:p>
      <w:pPr>
        <w:spacing w:line="360" w:lineRule="auto"/>
        <w:ind w:firstLine="560" w:firstLineChars="200"/>
        <w:rPr>
          <w:rFonts w:hint="eastAsia" w:ascii="宋体" w:hAnsi="宋体" w:cs="宋体"/>
          <w:sz w:val="28"/>
          <w:szCs w:val="28"/>
        </w:rPr>
      </w:pPr>
      <w:r>
        <w:rPr>
          <w:rFonts w:hint="eastAsia" w:ascii="宋体" w:hAnsi="宋体" w:cs="宋体"/>
          <w:sz w:val="28"/>
          <w:szCs w:val="28"/>
        </w:rPr>
        <w:t xml:space="preserve"> 本项目按照基本建设相关程序，根据经批准立项的有关文件和可行性研究报告，有步骤地开展地质勘察、初步设计、施工图设计、招标投标、工程施工及监理、竣工验收等工作。</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项目建设期从2022年1月至2024年8月，具体安排如下：</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（1）2022年1月至2022年3月，完成项目建议书报批；用地规划调整与报批；土地征收与政策处理；</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（2）2022年4月至2022年5月，完成可行性研究报告报批、设计招投标工作；</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（3）2022年6月至2022年9月，完成校内原有建筑物拆除、场地平整工作；完成初步设计批复以及施工图的设计；</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（4）2022年10月至2022年12月，完成施工图审核，完成预算编制、审核，完成招投标工作；</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（5）2023年1月，完成场地内三通一平等工作；完成承包合同签定；施工许可证审批，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（6） 2023年2月至2024年5月，完成建筑安装工程与二次装修工程；完成室外消防水、道路、排水、铺装、绿化等工程；竣工验收与备案办证；</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（7）2024年6月至2024年8月，设备采购、安装与试运行；</w:t>
      </w:r>
    </w:p>
    <w:p>
      <w:pPr>
        <w:spacing w:line="360" w:lineRule="auto"/>
        <w:jc w:val="center"/>
        <w:outlineLvl w:val="0"/>
        <w:rPr>
          <w:rFonts w:hint="eastAsia" w:ascii="宋体" w:hAnsi="宋体"/>
          <w:b/>
          <w:sz w:val="52"/>
          <w:szCs w:val="52"/>
        </w:rPr>
      </w:pPr>
      <w:r>
        <w:rPr>
          <w:rFonts w:ascii="宋体" w:hAnsi="宋体"/>
          <w:b/>
          <w:sz w:val="28"/>
          <w:szCs w:val="28"/>
        </w:rPr>
        <w:br w:type="column"/>
      </w:r>
      <w:bookmarkStart w:id="38" w:name="_Toc496105215"/>
      <w:r>
        <w:rPr>
          <w:rFonts w:hint="eastAsia" w:ascii="宋体" w:hAnsi="宋体"/>
          <w:b/>
          <w:sz w:val="52"/>
          <w:szCs w:val="52"/>
        </w:rPr>
        <w:t>第十一节   投资估算及资金筹措</w:t>
      </w:r>
      <w:bookmarkEnd w:id="38"/>
    </w:p>
    <w:p>
      <w:pPr>
        <w:spacing w:line="360" w:lineRule="auto"/>
        <w:ind w:firstLine="562" w:firstLineChars="200"/>
        <w:outlineLvl w:val="1"/>
        <w:rPr>
          <w:rFonts w:hint="eastAsia" w:ascii="宋体" w:hAnsi="宋体"/>
          <w:b/>
          <w:sz w:val="28"/>
          <w:szCs w:val="28"/>
        </w:rPr>
      </w:pPr>
      <w:bookmarkStart w:id="39" w:name="_Toc496105216"/>
      <w:r>
        <w:rPr>
          <w:rFonts w:hint="eastAsia" w:ascii="宋体" w:hAnsi="宋体"/>
          <w:b/>
          <w:sz w:val="28"/>
          <w:szCs w:val="28"/>
        </w:rPr>
        <w:t>一、投资估算</w:t>
      </w:r>
      <w:bookmarkEnd w:id="39"/>
    </w:p>
    <w:p>
      <w:pPr>
        <w:numPr>
          <w:ilvl w:val="1"/>
          <w:numId w:val="4"/>
        </w:numPr>
        <w:tabs>
          <w:tab w:val="clear" w:pos="1440"/>
        </w:tabs>
        <w:spacing w:line="360" w:lineRule="auto"/>
        <w:ind w:left="0" w:firstLine="562" w:firstLineChars="200"/>
        <w:rPr>
          <w:rFonts w:hint="eastAsia" w:ascii="宋体" w:hAnsi="宋体"/>
          <w:b/>
          <w:sz w:val="28"/>
          <w:szCs w:val="28"/>
        </w:rPr>
      </w:pPr>
      <w:r>
        <w:rPr>
          <w:rFonts w:hint="eastAsia" w:ascii="宋体" w:hAnsi="宋体"/>
          <w:b/>
          <w:sz w:val="28"/>
          <w:szCs w:val="28"/>
        </w:rPr>
        <w:t>编制依据</w:t>
      </w:r>
    </w:p>
    <w:p>
      <w:pPr>
        <w:numPr>
          <w:ilvl w:val="0"/>
          <w:numId w:val="5"/>
        </w:numPr>
        <w:spacing w:line="360" w:lineRule="auto"/>
        <w:rPr>
          <w:rFonts w:hint="eastAsia" w:ascii="宋体" w:hAnsi="宋体"/>
          <w:sz w:val="28"/>
          <w:szCs w:val="28"/>
        </w:rPr>
      </w:pPr>
      <w:r>
        <w:rPr>
          <w:rFonts w:hint="eastAsia" w:ascii="宋体" w:hAnsi="宋体"/>
          <w:sz w:val="28"/>
          <w:szCs w:val="28"/>
        </w:rPr>
        <w:t>浙江省建筑工程预算定额》（2018版）；</w:t>
      </w:r>
    </w:p>
    <w:p>
      <w:pPr>
        <w:numPr>
          <w:ilvl w:val="0"/>
          <w:numId w:val="5"/>
        </w:numPr>
        <w:spacing w:line="360" w:lineRule="auto"/>
        <w:rPr>
          <w:rFonts w:hint="eastAsia" w:ascii="宋体" w:hAnsi="宋体"/>
          <w:sz w:val="28"/>
          <w:szCs w:val="28"/>
        </w:rPr>
      </w:pPr>
      <w:r>
        <w:rPr>
          <w:rFonts w:hint="eastAsia" w:ascii="宋体" w:hAnsi="宋体"/>
          <w:sz w:val="28"/>
          <w:szCs w:val="28"/>
        </w:rPr>
        <w:t>浙江省安装工程预算定额》（2018版）；</w:t>
      </w:r>
    </w:p>
    <w:p>
      <w:pPr>
        <w:numPr>
          <w:ilvl w:val="0"/>
          <w:numId w:val="5"/>
        </w:numPr>
        <w:spacing w:line="360" w:lineRule="auto"/>
        <w:rPr>
          <w:rFonts w:hint="eastAsia" w:ascii="宋体" w:hAnsi="宋体"/>
          <w:sz w:val="28"/>
          <w:szCs w:val="28"/>
        </w:rPr>
      </w:pPr>
      <w:r>
        <w:rPr>
          <w:rFonts w:hint="eastAsia" w:ascii="宋体" w:hAnsi="宋体"/>
          <w:sz w:val="28"/>
          <w:szCs w:val="28"/>
        </w:rPr>
        <w:t>浙江省建设工程施工取费定额》（2018版）；</w:t>
      </w:r>
    </w:p>
    <w:p>
      <w:pPr>
        <w:numPr>
          <w:ilvl w:val="0"/>
          <w:numId w:val="5"/>
        </w:numPr>
        <w:spacing w:line="360" w:lineRule="auto"/>
        <w:rPr>
          <w:rFonts w:hint="eastAsia" w:ascii="宋体" w:hAnsi="宋体"/>
          <w:sz w:val="28"/>
          <w:szCs w:val="28"/>
        </w:rPr>
      </w:pPr>
      <w:r>
        <w:rPr>
          <w:rFonts w:hint="eastAsia" w:ascii="宋体" w:hAnsi="宋体"/>
          <w:sz w:val="28"/>
          <w:szCs w:val="28"/>
        </w:rPr>
        <w:t>浙江省市政工程预算定额》（2018版）；</w:t>
      </w:r>
    </w:p>
    <w:p>
      <w:pPr>
        <w:numPr>
          <w:ilvl w:val="0"/>
          <w:numId w:val="5"/>
        </w:numPr>
        <w:spacing w:line="360" w:lineRule="auto"/>
        <w:rPr>
          <w:rFonts w:hint="eastAsia" w:ascii="宋体" w:hAnsi="宋体"/>
          <w:sz w:val="28"/>
          <w:szCs w:val="28"/>
        </w:rPr>
      </w:pPr>
      <w:r>
        <w:rPr>
          <w:rFonts w:hint="eastAsia" w:ascii="宋体" w:hAnsi="宋体"/>
          <w:sz w:val="28"/>
          <w:szCs w:val="28"/>
        </w:rPr>
        <w:t>浙江省园林与绿化工程预算定额》（2018版）；</w:t>
      </w:r>
    </w:p>
    <w:p>
      <w:pPr>
        <w:numPr>
          <w:ilvl w:val="0"/>
          <w:numId w:val="5"/>
        </w:numPr>
        <w:spacing w:line="360" w:lineRule="auto"/>
        <w:rPr>
          <w:rFonts w:hint="eastAsia" w:ascii="宋体" w:hAnsi="宋体"/>
          <w:sz w:val="28"/>
          <w:szCs w:val="28"/>
        </w:rPr>
      </w:pPr>
      <w:r>
        <w:rPr>
          <w:rFonts w:hint="eastAsia" w:ascii="宋体" w:hAnsi="宋体"/>
          <w:sz w:val="28"/>
          <w:szCs w:val="28"/>
        </w:rPr>
        <w:t>江省建筑工程概算定额（2018年）；</w:t>
      </w:r>
    </w:p>
    <w:p>
      <w:pPr>
        <w:spacing w:line="360" w:lineRule="auto"/>
        <w:ind w:firstLine="560" w:firstLineChars="200"/>
        <w:rPr>
          <w:rFonts w:hint="eastAsia" w:ascii="宋体" w:hAnsi="宋体"/>
          <w:sz w:val="28"/>
          <w:szCs w:val="28"/>
        </w:rPr>
      </w:pPr>
      <w:r>
        <w:rPr>
          <w:rFonts w:hint="eastAsia" w:ascii="宋体" w:hAnsi="宋体"/>
          <w:sz w:val="28"/>
          <w:szCs w:val="28"/>
        </w:rPr>
        <w:t>⑦国家发改委、建设部《建设项目经济评价方法与参数（第三版）》；</w:t>
      </w:r>
    </w:p>
    <w:p>
      <w:pPr>
        <w:spacing w:line="360" w:lineRule="auto"/>
        <w:ind w:firstLine="560" w:firstLineChars="200"/>
        <w:rPr>
          <w:rFonts w:hint="eastAsia" w:ascii="宋体" w:hAnsi="宋体"/>
          <w:sz w:val="28"/>
          <w:szCs w:val="28"/>
        </w:rPr>
      </w:pPr>
      <w:r>
        <w:rPr>
          <w:rFonts w:hint="eastAsia" w:ascii="宋体" w:hAnsi="宋体"/>
          <w:sz w:val="28"/>
          <w:szCs w:val="28"/>
        </w:rPr>
        <w:t>⑧国家现行相关收费标准；</w:t>
      </w:r>
    </w:p>
    <w:p>
      <w:pPr>
        <w:spacing w:line="360" w:lineRule="auto"/>
        <w:ind w:firstLine="560" w:firstLineChars="200"/>
        <w:rPr>
          <w:rFonts w:hint="eastAsia" w:ascii="宋体" w:hAnsi="宋体"/>
          <w:sz w:val="28"/>
          <w:szCs w:val="28"/>
        </w:rPr>
      </w:pPr>
      <w:r>
        <w:rPr>
          <w:rFonts w:hint="eastAsia" w:ascii="宋体" w:hAnsi="宋体"/>
          <w:sz w:val="28"/>
          <w:szCs w:val="28"/>
        </w:rPr>
        <w:t>⑨台州市（天台县）有关工程造价相关文件及材料价格信息等。</w:t>
      </w:r>
    </w:p>
    <w:p>
      <w:pPr>
        <w:spacing w:line="360" w:lineRule="auto"/>
        <w:ind w:firstLine="562" w:firstLineChars="200"/>
        <w:rPr>
          <w:rFonts w:hint="eastAsia"/>
          <w:b/>
          <w:bCs/>
          <w:sz w:val="28"/>
        </w:rPr>
      </w:pPr>
      <w:r>
        <w:rPr>
          <w:rFonts w:hint="eastAsia"/>
          <w:b/>
          <w:bCs/>
          <w:sz w:val="28"/>
        </w:rPr>
        <w:t>2、项目投资估算</w:t>
      </w:r>
    </w:p>
    <w:p>
      <w:pPr>
        <w:spacing w:line="360" w:lineRule="auto"/>
        <w:jc w:val="center"/>
        <w:rPr>
          <w:rFonts w:hint="eastAsia" w:eastAsia="黑体"/>
          <w:b/>
          <w:bCs/>
          <w:sz w:val="44"/>
          <w:szCs w:val="44"/>
        </w:rPr>
      </w:pPr>
      <w:r>
        <w:rPr>
          <w:rFonts w:hint="eastAsia" w:eastAsia="黑体"/>
          <w:b/>
          <w:bCs/>
          <w:sz w:val="44"/>
          <w:szCs w:val="44"/>
        </w:rPr>
        <w:t>投  资  估  算   表</w:t>
      </w:r>
    </w:p>
    <w:p>
      <w:pPr>
        <w:spacing w:line="360" w:lineRule="auto"/>
        <w:rPr>
          <w:rFonts w:hint="eastAsia" w:ascii="宋体" w:hAnsi="宋体"/>
          <w:sz w:val="28"/>
        </w:rPr>
      </w:pPr>
      <w:r>
        <w:rPr>
          <w:rFonts w:hint="eastAsia" w:ascii="宋体" w:hAnsi="宋体"/>
          <w:sz w:val="28"/>
        </w:rPr>
        <w:t>项目名称：赤城街道栖霞小学迁建工程</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353"/>
        <w:gridCol w:w="2977"/>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900" w:type="dxa"/>
            <w:noWrap w:val="0"/>
            <w:vAlign w:val="center"/>
          </w:tcPr>
          <w:p>
            <w:pPr>
              <w:rPr>
                <w:rFonts w:ascii="宋体" w:hAnsi="宋体" w:cs="宋体"/>
                <w:b/>
                <w:bCs/>
                <w:color w:val="000000"/>
                <w:sz w:val="28"/>
                <w:szCs w:val="28"/>
              </w:rPr>
            </w:pPr>
            <w:r>
              <w:rPr>
                <w:rFonts w:hint="eastAsia" w:ascii="宋体" w:hAnsi="宋体"/>
                <w:b/>
                <w:bCs/>
                <w:color w:val="000000"/>
                <w:sz w:val="28"/>
                <w:szCs w:val="28"/>
              </w:rPr>
              <w:t>序号</w:t>
            </w:r>
          </w:p>
        </w:tc>
        <w:tc>
          <w:tcPr>
            <w:tcW w:w="3353" w:type="dxa"/>
            <w:noWrap w:val="0"/>
            <w:vAlign w:val="center"/>
          </w:tcPr>
          <w:p>
            <w:pPr>
              <w:rPr>
                <w:rFonts w:ascii="宋体" w:hAnsi="宋体" w:cs="宋体"/>
                <w:b/>
                <w:bCs/>
                <w:color w:val="000000"/>
                <w:sz w:val="28"/>
                <w:szCs w:val="28"/>
              </w:rPr>
            </w:pPr>
            <w:r>
              <w:rPr>
                <w:rFonts w:hint="eastAsia" w:ascii="宋体" w:hAnsi="宋体"/>
                <w:b/>
                <w:bCs/>
                <w:color w:val="000000"/>
                <w:sz w:val="28"/>
                <w:szCs w:val="28"/>
              </w:rPr>
              <w:t>费用名称</w:t>
            </w:r>
          </w:p>
        </w:tc>
        <w:tc>
          <w:tcPr>
            <w:tcW w:w="2977" w:type="dxa"/>
            <w:noWrap w:val="0"/>
            <w:vAlign w:val="center"/>
          </w:tcPr>
          <w:p>
            <w:pPr>
              <w:rPr>
                <w:rFonts w:ascii="宋体" w:hAnsi="宋体" w:cs="宋体"/>
                <w:b/>
                <w:bCs/>
                <w:color w:val="000000"/>
                <w:sz w:val="28"/>
                <w:szCs w:val="28"/>
              </w:rPr>
            </w:pPr>
            <w:r>
              <w:rPr>
                <w:rFonts w:hint="eastAsia" w:ascii="宋体" w:hAnsi="宋体"/>
                <w:b/>
                <w:bCs/>
                <w:color w:val="000000"/>
                <w:sz w:val="28"/>
                <w:szCs w:val="28"/>
              </w:rPr>
              <w:t>计算规则</w:t>
            </w:r>
          </w:p>
        </w:tc>
        <w:tc>
          <w:tcPr>
            <w:tcW w:w="992" w:type="dxa"/>
            <w:noWrap w:val="0"/>
            <w:vAlign w:val="center"/>
          </w:tcPr>
          <w:p>
            <w:pPr>
              <w:rPr>
                <w:rFonts w:ascii="宋体" w:hAnsi="宋体" w:cs="宋体"/>
                <w:b/>
                <w:bCs/>
                <w:color w:val="000000"/>
                <w:sz w:val="28"/>
                <w:szCs w:val="28"/>
              </w:rPr>
            </w:pPr>
            <w:r>
              <w:rPr>
                <w:rFonts w:hint="eastAsia" w:ascii="宋体" w:hAnsi="宋体"/>
                <w:b/>
                <w:bCs/>
                <w:color w:val="000000"/>
                <w:sz w:val="28"/>
                <w:szCs w:val="28"/>
              </w:rPr>
              <w:t>费率</w:t>
            </w:r>
          </w:p>
        </w:tc>
        <w:tc>
          <w:tcPr>
            <w:tcW w:w="1417" w:type="dxa"/>
            <w:noWrap w:val="0"/>
            <w:vAlign w:val="center"/>
          </w:tcPr>
          <w:p>
            <w:pPr>
              <w:rPr>
                <w:rFonts w:ascii="宋体" w:hAnsi="宋体" w:cs="宋体"/>
                <w:b/>
                <w:bCs/>
                <w:color w:val="000000"/>
                <w:sz w:val="28"/>
                <w:szCs w:val="28"/>
              </w:rPr>
            </w:pPr>
            <w:r>
              <w:rPr>
                <w:rFonts w:hint="eastAsia" w:ascii="宋体" w:hAnsi="宋体"/>
                <w:b/>
                <w:bCs/>
                <w:color w:val="000000"/>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b/>
                <w:bCs/>
                <w:color w:val="000000"/>
                <w:sz w:val="24"/>
              </w:rPr>
            </w:pPr>
            <w:r>
              <w:rPr>
                <w:rFonts w:hint="eastAsia"/>
                <w:b/>
                <w:bCs/>
                <w:color w:val="000000"/>
              </w:rPr>
              <w:t>一</w:t>
            </w:r>
          </w:p>
        </w:tc>
        <w:tc>
          <w:tcPr>
            <w:tcW w:w="3353" w:type="dxa"/>
            <w:noWrap w:val="0"/>
            <w:vAlign w:val="center"/>
          </w:tcPr>
          <w:p>
            <w:pPr>
              <w:jc w:val="center"/>
              <w:rPr>
                <w:rFonts w:ascii="宋体" w:hAnsi="宋体" w:cs="宋体"/>
                <w:b/>
                <w:bCs/>
                <w:color w:val="000000"/>
                <w:sz w:val="24"/>
              </w:rPr>
            </w:pPr>
            <w:r>
              <w:rPr>
                <w:rFonts w:hint="eastAsia"/>
                <w:b/>
                <w:bCs/>
                <w:color w:val="000000"/>
              </w:rPr>
              <w:t>工程费用</w:t>
            </w:r>
          </w:p>
        </w:tc>
        <w:tc>
          <w:tcPr>
            <w:tcW w:w="2977" w:type="dxa"/>
            <w:noWrap w:val="0"/>
            <w:vAlign w:val="center"/>
          </w:tcPr>
          <w:p>
            <w:pPr>
              <w:rPr>
                <w:rFonts w:ascii="宋体" w:hAnsi="宋体" w:cs="宋体"/>
                <w:b/>
                <w:bCs/>
                <w:color w:val="000000"/>
                <w:sz w:val="24"/>
              </w:rPr>
            </w:pPr>
            <w:r>
              <w:rPr>
                <w:rFonts w:hint="eastAsia"/>
                <w:b/>
                <w:bCs/>
                <w:color w:val="000000"/>
              </w:rPr>
              <w:t>1+2</w:t>
            </w:r>
          </w:p>
        </w:tc>
        <w:tc>
          <w:tcPr>
            <w:tcW w:w="992" w:type="dxa"/>
            <w:noWrap w:val="0"/>
            <w:vAlign w:val="center"/>
          </w:tcPr>
          <w:p>
            <w:pPr>
              <w:rPr>
                <w:rFonts w:ascii="宋体" w:hAnsi="宋体" w:cs="宋体"/>
                <w:b/>
                <w:bCs/>
                <w:color w:val="000000"/>
                <w:sz w:val="24"/>
              </w:rPr>
            </w:pPr>
            <w:r>
              <w:rPr>
                <w:rFonts w:hint="eastAsia"/>
                <w:b/>
                <w:bCs/>
                <w:color w:val="000000"/>
              </w:rPr>
              <w:t>　</w:t>
            </w:r>
          </w:p>
        </w:tc>
        <w:tc>
          <w:tcPr>
            <w:tcW w:w="1417" w:type="dxa"/>
            <w:noWrap w:val="0"/>
            <w:vAlign w:val="center"/>
          </w:tcPr>
          <w:p>
            <w:pPr>
              <w:rPr>
                <w:rFonts w:ascii="宋体" w:hAnsi="宋体" w:cs="宋体"/>
                <w:b/>
                <w:bCs/>
                <w:color w:val="000000"/>
                <w:sz w:val="24"/>
              </w:rPr>
            </w:pPr>
            <w:r>
              <w:rPr>
                <w:rFonts w:hint="eastAsia"/>
                <w:b/>
                <w:bCs/>
                <w:color w:val="000000"/>
              </w:rPr>
              <w:t xml:space="preserve">4357.00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b/>
                <w:bCs/>
                <w:color w:val="000000"/>
                <w:sz w:val="24"/>
              </w:rPr>
            </w:pPr>
            <w:r>
              <w:rPr>
                <w:rFonts w:hint="eastAsia"/>
                <w:b/>
                <w:bCs/>
                <w:color w:val="000000"/>
              </w:rPr>
              <w:t>1</w:t>
            </w:r>
          </w:p>
        </w:tc>
        <w:tc>
          <w:tcPr>
            <w:tcW w:w="3353" w:type="dxa"/>
            <w:noWrap w:val="0"/>
            <w:vAlign w:val="center"/>
          </w:tcPr>
          <w:p>
            <w:pPr>
              <w:jc w:val="center"/>
              <w:rPr>
                <w:rFonts w:ascii="宋体" w:hAnsi="宋体" w:cs="宋体"/>
                <w:b/>
                <w:bCs/>
                <w:color w:val="000000"/>
                <w:sz w:val="24"/>
              </w:rPr>
            </w:pPr>
            <w:r>
              <w:rPr>
                <w:rFonts w:hint="eastAsia"/>
                <w:b/>
                <w:bCs/>
                <w:color w:val="000000"/>
              </w:rPr>
              <w:t>建筑安装工程费</w:t>
            </w:r>
          </w:p>
        </w:tc>
        <w:tc>
          <w:tcPr>
            <w:tcW w:w="2977" w:type="dxa"/>
            <w:noWrap w:val="0"/>
            <w:vAlign w:val="center"/>
          </w:tcPr>
          <w:p>
            <w:pPr>
              <w:rPr>
                <w:rFonts w:ascii="宋体" w:hAnsi="宋体" w:cs="宋体"/>
                <w:b/>
                <w:bCs/>
                <w:color w:val="000000"/>
                <w:sz w:val="24"/>
              </w:rPr>
            </w:pPr>
            <w:r>
              <w:rPr>
                <w:rFonts w:hint="eastAsia"/>
                <w:b/>
                <w:bCs/>
                <w:color w:val="000000"/>
              </w:rPr>
              <w:t>1.1+1.2+1.3</w:t>
            </w:r>
          </w:p>
        </w:tc>
        <w:tc>
          <w:tcPr>
            <w:tcW w:w="992" w:type="dxa"/>
            <w:noWrap w:val="0"/>
            <w:vAlign w:val="center"/>
          </w:tcPr>
          <w:p>
            <w:pPr>
              <w:rPr>
                <w:rFonts w:ascii="宋体" w:hAnsi="宋体" w:cs="宋体"/>
                <w:b/>
                <w:bCs/>
                <w:color w:val="000000"/>
                <w:sz w:val="24"/>
              </w:rPr>
            </w:pPr>
            <w:r>
              <w:rPr>
                <w:rFonts w:hint="eastAsia"/>
                <w:b/>
                <w:bCs/>
                <w:color w:val="000000"/>
              </w:rPr>
              <w:t>　</w:t>
            </w:r>
          </w:p>
        </w:tc>
        <w:tc>
          <w:tcPr>
            <w:tcW w:w="1417" w:type="dxa"/>
            <w:noWrap w:val="0"/>
            <w:vAlign w:val="center"/>
          </w:tcPr>
          <w:p>
            <w:pPr>
              <w:rPr>
                <w:rFonts w:ascii="宋体" w:hAnsi="宋体" w:cs="宋体"/>
                <w:b/>
                <w:bCs/>
                <w:color w:val="000000"/>
                <w:sz w:val="24"/>
              </w:rPr>
            </w:pPr>
            <w:r>
              <w:rPr>
                <w:rFonts w:hint="eastAsia"/>
                <w:b/>
                <w:bCs/>
                <w:color w:val="000000"/>
              </w:rPr>
              <w:t xml:space="preserve">3366.00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1.1</w:t>
            </w:r>
          </w:p>
        </w:tc>
        <w:tc>
          <w:tcPr>
            <w:tcW w:w="3353" w:type="dxa"/>
            <w:noWrap w:val="0"/>
            <w:vAlign w:val="center"/>
          </w:tcPr>
          <w:p>
            <w:pPr>
              <w:rPr>
                <w:rFonts w:ascii="宋体" w:hAnsi="宋体" w:cs="宋体"/>
                <w:color w:val="000000"/>
                <w:sz w:val="24"/>
              </w:rPr>
            </w:pPr>
            <w:r>
              <w:rPr>
                <w:rFonts w:hint="eastAsia"/>
                <w:color w:val="000000"/>
              </w:rPr>
              <w:t>地上建安工程(包含二次装修费用)</w:t>
            </w:r>
          </w:p>
        </w:tc>
        <w:tc>
          <w:tcPr>
            <w:tcW w:w="2977" w:type="dxa"/>
            <w:noWrap w:val="0"/>
            <w:vAlign w:val="center"/>
          </w:tcPr>
          <w:p>
            <w:pPr>
              <w:rPr>
                <w:rFonts w:ascii="宋体" w:hAnsi="宋体" w:cs="宋体"/>
                <w:color w:val="000000"/>
                <w:sz w:val="24"/>
              </w:rPr>
            </w:pPr>
            <w:r>
              <w:rPr>
                <w:rFonts w:hint="eastAsia"/>
                <w:color w:val="000000"/>
              </w:rPr>
              <w:t>11100㎡×2600元/㎡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2886.00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1.2</w:t>
            </w:r>
          </w:p>
        </w:tc>
        <w:tc>
          <w:tcPr>
            <w:tcW w:w="3353" w:type="dxa"/>
            <w:noWrap w:val="0"/>
            <w:vAlign w:val="center"/>
          </w:tcPr>
          <w:p>
            <w:pPr>
              <w:rPr>
                <w:rFonts w:ascii="宋体" w:hAnsi="宋体" w:cs="宋体"/>
                <w:color w:val="000000"/>
                <w:sz w:val="24"/>
              </w:rPr>
            </w:pPr>
            <w:r>
              <w:rPr>
                <w:rFonts w:hint="eastAsia"/>
                <w:color w:val="000000"/>
              </w:rPr>
              <w:t>架空层建安工程</w:t>
            </w:r>
          </w:p>
        </w:tc>
        <w:tc>
          <w:tcPr>
            <w:tcW w:w="2977" w:type="dxa"/>
            <w:noWrap w:val="0"/>
            <w:vAlign w:val="center"/>
          </w:tcPr>
          <w:p>
            <w:pPr>
              <w:rPr>
                <w:rFonts w:ascii="宋体" w:hAnsi="宋体" w:cs="宋体"/>
                <w:color w:val="000000"/>
                <w:sz w:val="24"/>
              </w:rPr>
            </w:pPr>
            <w:r>
              <w:rPr>
                <w:rFonts w:hint="eastAsia"/>
                <w:color w:val="000000"/>
              </w:rPr>
              <w:t>2000㎡×2200元/㎡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440.00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1.3</w:t>
            </w:r>
          </w:p>
        </w:tc>
        <w:tc>
          <w:tcPr>
            <w:tcW w:w="3353" w:type="dxa"/>
            <w:noWrap w:val="0"/>
            <w:vAlign w:val="center"/>
          </w:tcPr>
          <w:p>
            <w:pPr>
              <w:rPr>
                <w:rFonts w:ascii="宋体" w:hAnsi="宋体" w:cs="宋体"/>
                <w:color w:val="000000"/>
                <w:sz w:val="24"/>
              </w:rPr>
            </w:pPr>
            <w:r>
              <w:rPr>
                <w:rFonts w:hint="eastAsia"/>
                <w:color w:val="000000"/>
              </w:rPr>
              <w:t>地上附着物拆除清运费用</w:t>
            </w:r>
          </w:p>
        </w:tc>
        <w:tc>
          <w:tcPr>
            <w:tcW w:w="2977" w:type="dxa"/>
            <w:noWrap w:val="0"/>
            <w:vAlign w:val="center"/>
          </w:tcPr>
          <w:p>
            <w:pPr>
              <w:rPr>
                <w:rFonts w:ascii="宋体" w:hAnsi="宋体" w:cs="宋体"/>
                <w:color w:val="000000"/>
                <w:sz w:val="24"/>
              </w:rPr>
            </w:pPr>
            <w:r>
              <w:rPr>
                <w:rFonts w:hint="eastAsia"/>
                <w:color w:val="000000"/>
              </w:rPr>
              <w:t>估算</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b/>
                <w:bCs/>
                <w:color w:val="000000"/>
                <w:sz w:val="24"/>
              </w:rPr>
            </w:pPr>
            <w:r>
              <w:rPr>
                <w:rFonts w:hint="eastAsia"/>
                <w:b/>
                <w:bCs/>
                <w:color w:val="000000"/>
              </w:rPr>
              <w:t>2</w:t>
            </w:r>
          </w:p>
        </w:tc>
        <w:tc>
          <w:tcPr>
            <w:tcW w:w="3353" w:type="dxa"/>
            <w:noWrap w:val="0"/>
            <w:vAlign w:val="center"/>
          </w:tcPr>
          <w:p>
            <w:pPr>
              <w:jc w:val="center"/>
              <w:rPr>
                <w:rFonts w:ascii="宋体" w:hAnsi="宋体" w:cs="宋体"/>
                <w:b/>
                <w:bCs/>
                <w:color w:val="000000"/>
                <w:sz w:val="24"/>
              </w:rPr>
            </w:pPr>
            <w:r>
              <w:rPr>
                <w:rFonts w:hint="eastAsia"/>
                <w:b/>
                <w:bCs/>
                <w:color w:val="000000"/>
              </w:rPr>
              <w:t>室外附属工程</w:t>
            </w:r>
          </w:p>
        </w:tc>
        <w:tc>
          <w:tcPr>
            <w:tcW w:w="2977" w:type="dxa"/>
            <w:noWrap w:val="0"/>
            <w:vAlign w:val="center"/>
          </w:tcPr>
          <w:p>
            <w:pPr>
              <w:rPr>
                <w:rFonts w:ascii="宋体" w:hAnsi="宋体" w:cs="宋体"/>
                <w:b/>
                <w:bCs/>
                <w:color w:val="000000"/>
                <w:sz w:val="24"/>
              </w:rPr>
            </w:pPr>
            <w:r>
              <w:rPr>
                <w:rFonts w:hint="eastAsia"/>
                <w:b/>
                <w:bCs/>
                <w:color w:val="000000"/>
              </w:rPr>
              <w:t>2.1+2.2+…+2.6</w:t>
            </w:r>
          </w:p>
        </w:tc>
        <w:tc>
          <w:tcPr>
            <w:tcW w:w="992" w:type="dxa"/>
            <w:noWrap w:val="0"/>
            <w:vAlign w:val="center"/>
          </w:tcPr>
          <w:p>
            <w:pPr>
              <w:rPr>
                <w:rFonts w:ascii="宋体" w:hAnsi="宋体" w:cs="宋体"/>
                <w:b/>
                <w:bCs/>
                <w:color w:val="000000"/>
                <w:sz w:val="24"/>
              </w:rPr>
            </w:pPr>
            <w:r>
              <w:rPr>
                <w:rFonts w:hint="eastAsia"/>
                <w:b/>
                <w:bCs/>
                <w:color w:val="000000"/>
              </w:rPr>
              <w:t>　</w:t>
            </w:r>
          </w:p>
        </w:tc>
        <w:tc>
          <w:tcPr>
            <w:tcW w:w="1417" w:type="dxa"/>
            <w:noWrap w:val="0"/>
            <w:vAlign w:val="center"/>
          </w:tcPr>
          <w:p>
            <w:pPr>
              <w:rPr>
                <w:rFonts w:ascii="宋体" w:hAnsi="宋体" w:cs="宋体"/>
                <w:b/>
                <w:bCs/>
                <w:color w:val="000000"/>
                <w:sz w:val="24"/>
              </w:rPr>
            </w:pPr>
            <w:r>
              <w:rPr>
                <w:rFonts w:hint="eastAsia"/>
                <w:b/>
                <w:bCs/>
                <w:color w:val="000000"/>
              </w:rPr>
              <w:t xml:space="preserve">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2.1</w:t>
            </w:r>
          </w:p>
        </w:tc>
        <w:tc>
          <w:tcPr>
            <w:tcW w:w="3353" w:type="dxa"/>
            <w:noWrap w:val="0"/>
            <w:vAlign w:val="center"/>
          </w:tcPr>
          <w:p>
            <w:pPr>
              <w:rPr>
                <w:rFonts w:ascii="宋体" w:hAnsi="宋体" w:cs="宋体"/>
                <w:color w:val="000000"/>
                <w:sz w:val="24"/>
              </w:rPr>
            </w:pPr>
            <w:r>
              <w:rPr>
                <w:rFonts w:hint="eastAsia"/>
                <w:color w:val="000000"/>
              </w:rPr>
              <w:t>4道250米田径场与室外活动场地</w:t>
            </w:r>
          </w:p>
        </w:tc>
        <w:tc>
          <w:tcPr>
            <w:tcW w:w="2977" w:type="dxa"/>
            <w:noWrap w:val="0"/>
            <w:vAlign w:val="center"/>
          </w:tcPr>
          <w:p>
            <w:pPr>
              <w:rPr>
                <w:rFonts w:ascii="宋体" w:hAnsi="宋体" w:cs="宋体"/>
                <w:color w:val="000000"/>
                <w:sz w:val="24"/>
              </w:rPr>
            </w:pPr>
            <w:r>
              <w:rPr>
                <w:rFonts w:hint="eastAsia"/>
                <w:color w:val="000000"/>
              </w:rPr>
              <w:t>6500㎡×500元/㎡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325.00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2.2</w:t>
            </w:r>
          </w:p>
        </w:tc>
        <w:tc>
          <w:tcPr>
            <w:tcW w:w="3353" w:type="dxa"/>
            <w:noWrap w:val="0"/>
            <w:vAlign w:val="center"/>
          </w:tcPr>
          <w:p>
            <w:pPr>
              <w:rPr>
                <w:rFonts w:ascii="宋体" w:hAnsi="宋体" w:cs="宋体"/>
                <w:color w:val="000000"/>
                <w:sz w:val="24"/>
              </w:rPr>
            </w:pPr>
            <w:r>
              <w:rPr>
                <w:rFonts w:hint="eastAsia"/>
                <w:color w:val="000000"/>
              </w:rPr>
              <w:t>室外附属工程</w:t>
            </w:r>
          </w:p>
        </w:tc>
        <w:tc>
          <w:tcPr>
            <w:tcW w:w="2977" w:type="dxa"/>
            <w:noWrap w:val="0"/>
            <w:vAlign w:val="center"/>
          </w:tcPr>
          <w:p>
            <w:pPr>
              <w:rPr>
                <w:rFonts w:ascii="宋体" w:hAnsi="宋体" w:cs="宋体"/>
                <w:color w:val="000000"/>
                <w:sz w:val="24"/>
              </w:rPr>
            </w:pPr>
            <w:r>
              <w:rPr>
                <w:rFonts w:hint="eastAsia"/>
                <w:color w:val="000000"/>
              </w:rPr>
              <w:t>2500㎡×400元/㎡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2.3</w:t>
            </w:r>
          </w:p>
        </w:tc>
        <w:tc>
          <w:tcPr>
            <w:tcW w:w="3353" w:type="dxa"/>
            <w:noWrap w:val="0"/>
            <w:vAlign w:val="center"/>
          </w:tcPr>
          <w:p>
            <w:pPr>
              <w:rPr>
                <w:rFonts w:ascii="宋体" w:hAnsi="宋体" w:cs="宋体"/>
                <w:color w:val="000000"/>
                <w:sz w:val="24"/>
              </w:rPr>
            </w:pPr>
            <w:r>
              <w:rPr>
                <w:rFonts w:hint="eastAsia"/>
                <w:color w:val="000000"/>
              </w:rPr>
              <w:t>绿化工程</w:t>
            </w:r>
          </w:p>
        </w:tc>
        <w:tc>
          <w:tcPr>
            <w:tcW w:w="2977" w:type="dxa"/>
            <w:noWrap w:val="0"/>
            <w:vAlign w:val="center"/>
          </w:tcPr>
          <w:p>
            <w:pPr>
              <w:rPr>
                <w:rFonts w:ascii="宋体" w:hAnsi="宋体" w:cs="宋体"/>
                <w:color w:val="000000"/>
                <w:sz w:val="24"/>
              </w:rPr>
            </w:pPr>
            <w:r>
              <w:rPr>
                <w:rFonts w:hint="eastAsia"/>
                <w:color w:val="000000"/>
              </w:rPr>
              <w:t>6700㎡×300元/㎡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201.00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4" w:hRule="atLeast"/>
        </w:trPr>
        <w:tc>
          <w:tcPr>
            <w:tcW w:w="900" w:type="dxa"/>
            <w:noWrap w:val="0"/>
            <w:vAlign w:val="center"/>
          </w:tcPr>
          <w:p>
            <w:pPr>
              <w:rPr>
                <w:rFonts w:ascii="宋体" w:hAnsi="宋体" w:cs="宋体"/>
                <w:b/>
                <w:bCs/>
                <w:color w:val="000000"/>
                <w:sz w:val="28"/>
                <w:szCs w:val="28"/>
              </w:rPr>
            </w:pPr>
            <w:r>
              <w:rPr>
                <w:rFonts w:hint="eastAsia" w:ascii="宋体" w:hAnsi="宋体"/>
                <w:b/>
                <w:bCs/>
                <w:color w:val="000000"/>
                <w:sz w:val="28"/>
                <w:szCs w:val="28"/>
              </w:rPr>
              <w:t>序号</w:t>
            </w:r>
          </w:p>
        </w:tc>
        <w:tc>
          <w:tcPr>
            <w:tcW w:w="3353" w:type="dxa"/>
            <w:noWrap w:val="0"/>
            <w:vAlign w:val="center"/>
          </w:tcPr>
          <w:p>
            <w:pPr>
              <w:rPr>
                <w:rFonts w:ascii="宋体" w:hAnsi="宋体" w:cs="宋体"/>
                <w:b/>
                <w:bCs/>
                <w:color w:val="000000"/>
                <w:sz w:val="28"/>
                <w:szCs w:val="28"/>
              </w:rPr>
            </w:pPr>
            <w:r>
              <w:rPr>
                <w:rFonts w:hint="eastAsia" w:ascii="宋体" w:hAnsi="宋体"/>
                <w:b/>
                <w:bCs/>
                <w:color w:val="000000"/>
                <w:sz w:val="28"/>
                <w:szCs w:val="28"/>
              </w:rPr>
              <w:t>费用名称</w:t>
            </w:r>
          </w:p>
        </w:tc>
        <w:tc>
          <w:tcPr>
            <w:tcW w:w="2977" w:type="dxa"/>
            <w:noWrap w:val="0"/>
            <w:vAlign w:val="center"/>
          </w:tcPr>
          <w:p>
            <w:pPr>
              <w:rPr>
                <w:rFonts w:ascii="宋体" w:hAnsi="宋体" w:cs="宋体"/>
                <w:b/>
                <w:bCs/>
                <w:color w:val="000000"/>
                <w:sz w:val="28"/>
                <w:szCs w:val="28"/>
              </w:rPr>
            </w:pPr>
            <w:r>
              <w:rPr>
                <w:rFonts w:hint="eastAsia" w:ascii="宋体" w:hAnsi="宋体"/>
                <w:b/>
                <w:bCs/>
                <w:color w:val="000000"/>
                <w:sz w:val="28"/>
                <w:szCs w:val="28"/>
              </w:rPr>
              <w:t>计算规则</w:t>
            </w:r>
          </w:p>
        </w:tc>
        <w:tc>
          <w:tcPr>
            <w:tcW w:w="992" w:type="dxa"/>
            <w:noWrap w:val="0"/>
            <w:vAlign w:val="center"/>
          </w:tcPr>
          <w:p>
            <w:pPr>
              <w:rPr>
                <w:rFonts w:ascii="宋体" w:hAnsi="宋体" w:cs="宋体"/>
                <w:b/>
                <w:bCs/>
                <w:color w:val="000000"/>
                <w:sz w:val="28"/>
                <w:szCs w:val="28"/>
              </w:rPr>
            </w:pPr>
            <w:r>
              <w:rPr>
                <w:rFonts w:hint="eastAsia" w:ascii="宋体" w:hAnsi="宋体"/>
                <w:b/>
                <w:bCs/>
                <w:color w:val="000000"/>
                <w:sz w:val="28"/>
                <w:szCs w:val="28"/>
              </w:rPr>
              <w:t>费率</w:t>
            </w:r>
          </w:p>
        </w:tc>
        <w:tc>
          <w:tcPr>
            <w:tcW w:w="1417" w:type="dxa"/>
            <w:noWrap w:val="0"/>
            <w:vAlign w:val="center"/>
          </w:tcPr>
          <w:p>
            <w:pPr>
              <w:rPr>
                <w:rFonts w:ascii="宋体" w:hAnsi="宋体" w:cs="宋体"/>
                <w:b/>
                <w:bCs/>
                <w:color w:val="000000"/>
                <w:sz w:val="28"/>
                <w:szCs w:val="28"/>
              </w:rPr>
            </w:pPr>
            <w:r>
              <w:rPr>
                <w:rFonts w:hint="eastAsia" w:ascii="宋体" w:hAnsi="宋体"/>
                <w:b/>
                <w:bCs/>
                <w:color w:val="000000"/>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2.4</w:t>
            </w:r>
          </w:p>
        </w:tc>
        <w:tc>
          <w:tcPr>
            <w:tcW w:w="3353" w:type="dxa"/>
            <w:noWrap w:val="0"/>
            <w:vAlign w:val="center"/>
          </w:tcPr>
          <w:p>
            <w:pPr>
              <w:rPr>
                <w:rFonts w:ascii="宋体" w:hAnsi="宋体" w:cs="宋体"/>
                <w:color w:val="000000"/>
                <w:sz w:val="24"/>
              </w:rPr>
            </w:pPr>
            <w:r>
              <w:rPr>
                <w:rFonts w:hint="eastAsia"/>
                <w:color w:val="000000"/>
              </w:rPr>
              <w:t>围墙与大门</w:t>
            </w:r>
          </w:p>
        </w:tc>
        <w:tc>
          <w:tcPr>
            <w:tcW w:w="2977" w:type="dxa"/>
            <w:noWrap w:val="0"/>
            <w:vAlign w:val="center"/>
          </w:tcPr>
          <w:p>
            <w:pPr>
              <w:rPr>
                <w:rFonts w:ascii="宋体" w:hAnsi="宋体" w:cs="宋体"/>
                <w:color w:val="000000"/>
                <w:sz w:val="24"/>
              </w:rPr>
            </w:pPr>
            <w:r>
              <w:rPr>
                <w:rFonts w:hint="eastAsia"/>
                <w:color w:val="000000"/>
              </w:rPr>
              <w:t>1000m×1200元/m</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2.5</w:t>
            </w:r>
          </w:p>
        </w:tc>
        <w:tc>
          <w:tcPr>
            <w:tcW w:w="3353" w:type="dxa"/>
            <w:noWrap w:val="0"/>
            <w:vAlign w:val="center"/>
          </w:tcPr>
          <w:p>
            <w:pPr>
              <w:rPr>
                <w:rFonts w:ascii="宋体" w:hAnsi="宋体" w:cs="宋体"/>
                <w:color w:val="000000"/>
                <w:sz w:val="24"/>
              </w:rPr>
            </w:pPr>
            <w:r>
              <w:rPr>
                <w:rFonts w:hint="eastAsia"/>
                <w:color w:val="000000"/>
              </w:rPr>
              <w:t>室外智能、消防、照明、给排水</w:t>
            </w:r>
          </w:p>
        </w:tc>
        <w:tc>
          <w:tcPr>
            <w:tcW w:w="2977" w:type="dxa"/>
            <w:noWrap w:val="0"/>
            <w:vAlign w:val="center"/>
          </w:tcPr>
          <w:p>
            <w:pPr>
              <w:rPr>
                <w:rFonts w:ascii="宋体" w:hAnsi="宋体" w:cs="宋体"/>
                <w:color w:val="000000"/>
                <w:sz w:val="24"/>
              </w:rPr>
            </w:pPr>
            <w:r>
              <w:rPr>
                <w:rFonts w:hint="eastAsia"/>
                <w:color w:val="000000"/>
              </w:rPr>
              <w:t>2500㎡×500元/㎡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125.00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2.6</w:t>
            </w:r>
          </w:p>
        </w:tc>
        <w:tc>
          <w:tcPr>
            <w:tcW w:w="3353" w:type="dxa"/>
            <w:noWrap w:val="0"/>
            <w:vAlign w:val="center"/>
          </w:tcPr>
          <w:p>
            <w:pPr>
              <w:rPr>
                <w:rFonts w:ascii="宋体" w:hAnsi="宋体" w:cs="宋体"/>
                <w:color w:val="000000"/>
                <w:sz w:val="24"/>
              </w:rPr>
            </w:pPr>
            <w:r>
              <w:rPr>
                <w:rFonts w:hint="eastAsia"/>
                <w:color w:val="000000"/>
              </w:rPr>
              <w:t>高压配电工程</w:t>
            </w:r>
          </w:p>
        </w:tc>
        <w:tc>
          <w:tcPr>
            <w:tcW w:w="2977" w:type="dxa"/>
            <w:noWrap w:val="0"/>
            <w:vAlign w:val="center"/>
          </w:tcPr>
          <w:p>
            <w:pPr>
              <w:rPr>
                <w:rFonts w:ascii="宋体" w:hAnsi="宋体" w:cs="宋体"/>
                <w:color w:val="000000"/>
                <w:sz w:val="24"/>
              </w:rPr>
            </w:pPr>
            <w:r>
              <w:rPr>
                <w:rFonts w:hint="eastAsia"/>
                <w:color w:val="000000"/>
              </w:rPr>
              <w:t>估</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b/>
                <w:bCs/>
                <w:color w:val="000000"/>
                <w:sz w:val="24"/>
              </w:rPr>
            </w:pPr>
            <w:r>
              <w:rPr>
                <w:rFonts w:hint="eastAsia"/>
                <w:b/>
                <w:bCs/>
                <w:color w:val="000000"/>
              </w:rPr>
              <w:t>二</w:t>
            </w:r>
          </w:p>
        </w:tc>
        <w:tc>
          <w:tcPr>
            <w:tcW w:w="3353" w:type="dxa"/>
            <w:noWrap w:val="0"/>
            <w:vAlign w:val="center"/>
          </w:tcPr>
          <w:p>
            <w:pPr>
              <w:jc w:val="center"/>
              <w:rPr>
                <w:rFonts w:ascii="宋体" w:hAnsi="宋体" w:cs="宋体"/>
                <w:b/>
                <w:bCs/>
                <w:color w:val="000000"/>
                <w:sz w:val="24"/>
              </w:rPr>
            </w:pPr>
            <w:r>
              <w:rPr>
                <w:rFonts w:hint="eastAsia"/>
                <w:b/>
                <w:bCs/>
                <w:color w:val="000000"/>
              </w:rPr>
              <w:t>设备工程费</w:t>
            </w:r>
          </w:p>
        </w:tc>
        <w:tc>
          <w:tcPr>
            <w:tcW w:w="2977" w:type="dxa"/>
            <w:noWrap w:val="0"/>
            <w:vAlign w:val="center"/>
          </w:tcPr>
          <w:p>
            <w:pPr>
              <w:rPr>
                <w:rFonts w:ascii="宋体" w:hAnsi="宋体" w:cs="宋体"/>
                <w:b/>
                <w:bCs/>
                <w:color w:val="000000"/>
                <w:sz w:val="24"/>
              </w:rPr>
            </w:pPr>
            <w:r>
              <w:rPr>
                <w:rFonts w:hint="eastAsia"/>
                <w:b/>
                <w:bCs/>
                <w:color w:val="000000"/>
              </w:rPr>
              <w:t>1+2</w:t>
            </w:r>
          </w:p>
        </w:tc>
        <w:tc>
          <w:tcPr>
            <w:tcW w:w="992" w:type="dxa"/>
            <w:noWrap w:val="0"/>
            <w:vAlign w:val="center"/>
          </w:tcPr>
          <w:p>
            <w:pPr>
              <w:rPr>
                <w:rFonts w:ascii="宋体" w:hAnsi="宋体" w:cs="宋体"/>
                <w:b/>
                <w:bCs/>
                <w:color w:val="000000"/>
                <w:sz w:val="24"/>
              </w:rPr>
            </w:pPr>
            <w:r>
              <w:rPr>
                <w:rFonts w:hint="eastAsia"/>
                <w:b/>
                <w:bCs/>
                <w:color w:val="000000"/>
              </w:rPr>
              <w:t>　</w:t>
            </w:r>
          </w:p>
        </w:tc>
        <w:tc>
          <w:tcPr>
            <w:tcW w:w="1417" w:type="dxa"/>
            <w:noWrap w:val="0"/>
            <w:vAlign w:val="center"/>
          </w:tcPr>
          <w:p>
            <w:pPr>
              <w:rPr>
                <w:rFonts w:ascii="宋体" w:hAnsi="宋体" w:cs="宋体"/>
                <w:b/>
                <w:bCs/>
                <w:color w:val="000000"/>
                <w:sz w:val="24"/>
              </w:rPr>
            </w:pPr>
            <w:r>
              <w:rPr>
                <w:rFonts w:hint="eastAsia"/>
                <w:b/>
                <w:bCs/>
                <w:color w:val="000000"/>
              </w:rPr>
              <w:t xml:space="preserve">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1</w:t>
            </w:r>
          </w:p>
        </w:tc>
        <w:tc>
          <w:tcPr>
            <w:tcW w:w="3353" w:type="dxa"/>
            <w:noWrap w:val="0"/>
            <w:vAlign w:val="center"/>
          </w:tcPr>
          <w:p>
            <w:pPr>
              <w:rPr>
                <w:rFonts w:ascii="宋体" w:hAnsi="宋体" w:cs="宋体"/>
                <w:color w:val="000000"/>
                <w:sz w:val="24"/>
              </w:rPr>
            </w:pPr>
            <w:r>
              <w:rPr>
                <w:rFonts w:hint="eastAsia"/>
                <w:color w:val="000000"/>
              </w:rPr>
              <w:t>教学多媒体设备采购</w:t>
            </w:r>
          </w:p>
        </w:tc>
        <w:tc>
          <w:tcPr>
            <w:tcW w:w="2977" w:type="dxa"/>
            <w:noWrap w:val="0"/>
            <w:vAlign w:val="center"/>
          </w:tcPr>
          <w:p>
            <w:pPr>
              <w:rPr>
                <w:rFonts w:ascii="宋体" w:hAnsi="宋体" w:cs="宋体"/>
                <w:color w:val="000000"/>
                <w:sz w:val="24"/>
              </w:rPr>
            </w:pPr>
            <w:r>
              <w:rPr>
                <w:rFonts w:hint="eastAsia"/>
                <w:color w:val="000000"/>
              </w:rPr>
              <w:t>详设备、采购方案预算</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310.00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w:t>
            </w:r>
          </w:p>
        </w:tc>
        <w:tc>
          <w:tcPr>
            <w:tcW w:w="3353" w:type="dxa"/>
            <w:noWrap w:val="0"/>
            <w:vAlign w:val="center"/>
          </w:tcPr>
          <w:p>
            <w:pPr>
              <w:rPr>
                <w:rFonts w:ascii="宋体" w:hAnsi="宋体" w:cs="宋体"/>
                <w:color w:val="000000"/>
                <w:sz w:val="24"/>
              </w:rPr>
            </w:pPr>
            <w:r>
              <w:rPr>
                <w:rFonts w:hint="eastAsia"/>
                <w:color w:val="000000"/>
              </w:rPr>
              <w:t>校园文化</w:t>
            </w:r>
          </w:p>
        </w:tc>
        <w:tc>
          <w:tcPr>
            <w:tcW w:w="2977" w:type="dxa"/>
            <w:noWrap w:val="0"/>
            <w:vAlign w:val="center"/>
          </w:tcPr>
          <w:p>
            <w:pPr>
              <w:rPr>
                <w:rFonts w:ascii="宋体" w:hAnsi="宋体" w:cs="宋体"/>
                <w:color w:val="000000"/>
                <w:sz w:val="24"/>
              </w:rPr>
            </w:pPr>
            <w:r>
              <w:rPr>
                <w:rFonts w:hint="eastAsia"/>
                <w:color w:val="000000"/>
              </w:rPr>
              <w:t>估算</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b/>
                <w:bCs/>
                <w:color w:val="000000"/>
                <w:sz w:val="24"/>
              </w:rPr>
            </w:pPr>
            <w:r>
              <w:rPr>
                <w:rFonts w:hint="eastAsia"/>
                <w:b/>
                <w:bCs/>
                <w:color w:val="000000"/>
              </w:rPr>
              <w:t>三</w:t>
            </w:r>
          </w:p>
        </w:tc>
        <w:tc>
          <w:tcPr>
            <w:tcW w:w="3353" w:type="dxa"/>
            <w:noWrap w:val="0"/>
            <w:vAlign w:val="center"/>
          </w:tcPr>
          <w:p>
            <w:pPr>
              <w:jc w:val="center"/>
              <w:rPr>
                <w:rFonts w:ascii="宋体" w:hAnsi="宋体" w:cs="宋体"/>
                <w:b/>
                <w:bCs/>
                <w:color w:val="000000"/>
                <w:sz w:val="24"/>
              </w:rPr>
            </w:pPr>
            <w:r>
              <w:rPr>
                <w:rFonts w:hint="eastAsia"/>
                <w:b/>
                <w:bCs/>
                <w:color w:val="000000"/>
              </w:rPr>
              <w:t>征地及报批费用</w:t>
            </w:r>
          </w:p>
        </w:tc>
        <w:tc>
          <w:tcPr>
            <w:tcW w:w="2977" w:type="dxa"/>
            <w:noWrap w:val="0"/>
            <w:vAlign w:val="center"/>
          </w:tcPr>
          <w:p>
            <w:pPr>
              <w:rPr>
                <w:rFonts w:ascii="宋体" w:hAnsi="宋体" w:cs="宋体"/>
                <w:b/>
                <w:bCs/>
                <w:color w:val="000000"/>
                <w:sz w:val="24"/>
              </w:rPr>
            </w:pPr>
            <w:r>
              <w:rPr>
                <w:rFonts w:hint="eastAsia"/>
                <w:b/>
                <w:bCs/>
                <w:color w:val="000000"/>
              </w:rPr>
              <w:t>1+2</w:t>
            </w:r>
          </w:p>
        </w:tc>
        <w:tc>
          <w:tcPr>
            <w:tcW w:w="992" w:type="dxa"/>
            <w:noWrap w:val="0"/>
            <w:vAlign w:val="center"/>
          </w:tcPr>
          <w:p>
            <w:pPr>
              <w:rPr>
                <w:rFonts w:ascii="宋体" w:hAnsi="宋体" w:cs="宋体"/>
                <w:b/>
                <w:bCs/>
                <w:color w:val="000000"/>
                <w:sz w:val="24"/>
              </w:rPr>
            </w:pPr>
            <w:r>
              <w:rPr>
                <w:rFonts w:hint="eastAsia"/>
                <w:b/>
                <w:bCs/>
                <w:color w:val="000000"/>
              </w:rPr>
              <w:t>　</w:t>
            </w:r>
          </w:p>
        </w:tc>
        <w:tc>
          <w:tcPr>
            <w:tcW w:w="1417" w:type="dxa"/>
            <w:noWrap w:val="0"/>
            <w:vAlign w:val="center"/>
          </w:tcPr>
          <w:p>
            <w:pPr>
              <w:rPr>
                <w:rFonts w:ascii="宋体" w:hAnsi="宋体" w:cs="宋体"/>
                <w:b/>
                <w:bCs/>
                <w:color w:val="000000"/>
                <w:sz w:val="24"/>
              </w:rPr>
            </w:pPr>
            <w:r>
              <w:rPr>
                <w:rFonts w:hint="eastAsia"/>
                <w:b/>
                <w:bCs/>
                <w:color w:val="000000"/>
              </w:rPr>
              <w:t xml:space="preserve">350.00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1</w:t>
            </w:r>
          </w:p>
        </w:tc>
        <w:tc>
          <w:tcPr>
            <w:tcW w:w="3353" w:type="dxa"/>
            <w:noWrap w:val="0"/>
            <w:vAlign w:val="center"/>
          </w:tcPr>
          <w:p>
            <w:pPr>
              <w:rPr>
                <w:rFonts w:ascii="宋体" w:hAnsi="宋体" w:cs="宋体"/>
                <w:color w:val="000000"/>
                <w:sz w:val="24"/>
              </w:rPr>
            </w:pPr>
            <w:r>
              <w:rPr>
                <w:rFonts w:hint="eastAsia"/>
                <w:color w:val="000000"/>
              </w:rPr>
              <w:t>征地费用</w:t>
            </w:r>
          </w:p>
        </w:tc>
        <w:tc>
          <w:tcPr>
            <w:tcW w:w="2977" w:type="dxa"/>
            <w:noWrap w:val="0"/>
            <w:vAlign w:val="center"/>
          </w:tcPr>
          <w:p>
            <w:pPr>
              <w:rPr>
                <w:rFonts w:ascii="宋体" w:hAnsi="宋体" w:cs="宋体"/>
                <w:color w:val="000000"/>
                <w:sz w:val="24"/>
              </w:rPr>
            </w:pPr>
            <w:r>
              <w:rPr>
                <w:rFonts w:hint="eastAsia"/>
                <w:color w:val="000000"/>
              </w:rPr>
              <w:t>14亩×15万元/亩</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210.00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w:t>
            </w:r>
          </w:p>
        </w:tc>
        <w:tc>
          <w:tcPr>
            <w:tcW w:w="3353" w:type="dxa"/>
            <w:noWrap w:val="0"/>
            <w:vAlign w:val="center"/>
          </w:tcPr>
          <w:p>
            <w:pPr>
              <w:rPr>
                <w:rFonts w:ascii="宋体" w:hAnsi="宋体" w:cs="宋体"/>
                <w:color w:val="000000"/>
                <w:sz w:val="24"/>
              </w:rPr>
            </w:pPr>
            <w:r>
              <w:rPr>
                <w:rFonts w:hint="eastAsia"/>
                <w:color w:val="000000"/>
              </w:rPr>
              <w:t>报批费用</w:t>
            </w:r>
          </w:p>
        </w:tc>
        <w:tc>
          <w:tcPr>
            <w:tcW w:w="2977" w:type="dxa"/>
            <w:noWrap w:val="0"/>
            <w:vAlign w:val="center"/>
          </w:tcPr>
          <w:p>
            <w:pPr>
              <w:rPr>
                <w:rFonts w:ascii="宋体" w:hAnsi="宋体" w:cs="宋体"/>
                <w:color w:val="000000"/>
                <w:sz w:val="24"/>
              </w:rPr>
            </w:pPr>
            <w:r>
              <w:rPr>
                <w:rFonts w:hint="eastAsia"/>
                <w:color w:val="000000"/>
              </w:rPr>
              <w:t>14亩×10万元/亩</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140.00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b/>
                <w:bCs/>
                <w:color w:val="000000"/>
                <w:sz w:val="24"/>
              </w:rPr>
            </w:pPr>
            <w:r>
              <w:rPr>
                <w:rFonts w:hint="eastAsia"/>
                <w:b/>
                <w:bCs/>
                <w:color w:val="000000"/>
              </w:rPr>
              <w:t>四</w:t>
            </w:r>
          </w:p>
        </w:tc>
        <w:tc>
          <w:tcPr>
            <w:tcW w:w="3353" w:type="dxa"/>
            <w:noWrap w:val="0"/>
            <w:vAlign w:val="center"/>
          </w:tcPr>
          <w:p>
            <w:pPr>
              <w:jc w:val="center"/>
              <w:rPr>
                <w:rFonts w:ascii="宋体" w:hAnsi="宋体" w:cs="宋体"/>
                <w:b/>
                <w:bCs/>
                <w:color w:val="000000"/>
                <w:sz w:val="24"/>
              </w:rPr>
            </w:pPr>
            <w:r>
              <w:rPr>
                <w:rFonts w:hint="eastAsia"/>
                <w:b/>
                <w:bCs/>
                <w:color w:val="000000"/>
              </w:rPr>
              <w:t>工程建设其他费用</w:t>
            </w:r>
          </w:p>
        </w:tc>
        <w:tc>
          <w:tcPr>
            <w:tcW w:w="2977" w:type="dxa"/>
            <w:noWrap w:val="0"/>
            <w:vAlign w:val="center"/>
          </w:tcPr>
          <w:p>
            <w:pPr>
              <w:rPr>
                <w:rFonts w:ascii="宋体" w:hAnsi="宋体" w:cs="宋体"/>
                <w:b/>
                <w:bCs/>
                <w:color w:val="000000"/>
                <w:sz w:val="24"/>
              </w:rPr>
            </w:pPr>
            <w:r>
              <w:rPr>
                <w:rFonts w:hint="eastAsia"/>
                <w:b/>
                <w:bCs/>
                <w:color w:val="000000"/>
              </w:rPr>
              <w:t>1+2+…+11</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b/>
                <w:bCs/>
                <w:color w:val="000000"/>
                <w:sz w:val="24"/>
              </w:rPr>
            </w:pPr>
            <w:r>
              <w:rPr>
                <w:rFonts w:hint="eastAsia"/>
                <w:b/>
                <w:bCs/>
                <w:color w:val="000000"/>
              </w:rPr>
              <w:t xml:space="preserve">377.16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1</w:t>
            </w:r>
          </w:p>
        </w:tc>
        <w:tc>
          <w:tcPr>
            <w:tcW w:w="3353" w:type="dxa"/>
            <w:noWrap w:val="0"/>
            <w:vAlign w:val="center"/>
          </w:tcPr>
          <w:p>
            <w:pPr>
              <w:rPr>
                <w:rFonts w:ascii="宋体" w:hAnsi="宋体" w:cs="宋体"/>
                <w:color w:val="000000"/>
                <w:sz w:val="24"/>
              </w:rPr>
            </w:pPr>
            <w:r>
              <w:rPr>
                <w:rFonts w:hint="eastAsia"/>
                <w:color w:val="000000"/>
              </w:rPr>
              <w:t>建设工程管理费</w:t>
            </w:r>
          </w:p>
        </w:tc>
        <w:tc>
          <w:tcPr>
            <w:tcW w:w="2977" w:type="dxa"/>
            <w:noWrap w:val="0"/>
            <w:vAlign w:val="center"/>
          </w:tcPr>
          <w:p>
            <w:pPr>
              <w:rPr>
                <w:rFonts w:ascii="宋体" w:hAnsi="宋体" w:cs="宋体"/>
                <w:color w:val="000000"/>
                <w:sz w:val="24"/>
              </w:rPr>
            </w:pPr>
            <w:r>
              <w:rPr>
                <w:rFonts w:hint="eastAsia"/>
                <w:color w:val="000000"/>
              </w:rPr>
              <w:t>(一)×费率</w:t>
            </w:r>
          </w:p>
        </w:tc>
        <w:tc>
          <w:tcPr>
            <w:tcW w:w="992" w:type="dxa"/>
            <w:noWrap w:val="0"/>
            <w:vAlign w:val="center"/>
          </w:tcPr>
          <w:p>
            <w:pPr>
              <w:rPr>
                <w:rFonts w:ascii="宋体" w:hAnsi="宋体" w:cs="宋体"/>
                <w:color w:val="000000"/>
                <w:sz w:val="24"/>
              </w:rPr>
            </w:pPr>
            <w:r>
              <w:rPr>
                <w:rFonts w:hint="eastAsia"/>
                <w:color w:val="000000"/>
              </w:rPr>
              <w:t>2.50%</w:t>
            </w:r>
          </w:p>
        </w:tc>
        <w:tc>
          <w:tcPr>
            <w:tcW w:w="1417" w:type="dxa"/>
            <w:noWrap w:val="0"/>
            <w:vAlign w:val="center"/>
          </w:tcPr>
          <w:p>
            <w:pPr>
              <w:rPr>
                <w:rFonts w:ascii="宋体" w:hAnsi="宋体" w:cs="宋体"/>
                <w:color w:val="000000"/>
                <w:sz w:val="24"/>
              </w:rPr>
            </w:pPr>
            <w:r>
              <w:rPr>
                <w:rFonts w:hint="eastAsia"/>
                <w:color w:val="000000"/>
              </w:rPr>
              <w:t xml:space="preserve">108.93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2</w:t>
            </w:r>
          </w:p>
        </w:tc>
        <w:tc>
          <w:tcPr>
            <w:tcW w:w="3353" w:type="dxa"/>
            <w:noWrap w:val="0"/>
            <w:vAlign w:val="center"/>
          </w:tcPr>
          <w:p>
            <w:pPr>
              <w:rPr>
                <w:rFonts w:ascii="宋体" w:hAnsi="宋体" w:cs="宋体"/>
                <w:color w:val="000000"/>
                <w:sz w:val="24"/>
              </w:rPr>
            </w:pPr>
            <w:r>
              <w:rPr>
                <w:rFonts w:hint="eastAsia"/>
                <w:color w:val="000000"/>
              </w:rPr>
              <w:t>勘察设计费</w:t>
            </w:r>
          </w:p>
        </w:tc>
        <w:tc>
          <w:tcPr>
            <w:tcW w:w="2977" w:type="dxa"/>
            <w:noWrap w:val="0"/>
            <w:vAlign w:val="center"/>
          </w:tcPr>
          <w:p>
            <w:pPr>
              <w:rPr>
                <w:rFonts w:ascii="宋体" w:hAnsi="宋体" w:cs="宋体"/>
                <w:color w:val="000000"/>
                <w:sz w:val="24"/>
              </w:rPr>
            </w:pPr>
            <w:r>
              <w:rPr>
                <w:rFonts w:hint="eastAsia"/>
                <w:color w:val="000000"/>
              </w:rPr>
              <w:t>(一)×费率</w:t>
            </w:r>
          </w:p>
        </w:tc>
        <w:tc>
          <w:tcPr>
            <w:tcW w:w="992" w:type="dxa"/>
            <w:noWrap w:val="0"/>
            <w:vAlign w:val="center"/>
          </w:tcPr>
          <w:p>
            <w:pPr>
              <w:rPr>
                <w:rFonts w:ascii="宋体" w:hAnsi="宋体" w:cs="宋体"/>
                <w:color w:val="000000"/>
                <w:sz w:val="24"/>
              </w:rPr>
            </w:pPr>
            <w:r>
              <w:rPr>
                <w:rFonts w:hint="eastAsia"/>
                <w:color w:val="000000"/>
              </w:rPr>
              <w:t>2.50%</w:t>
            </w:r>
          </w:p>
        </w:tc>
        <w:tc>
          <w:tcPr>
            <w:tcW w:w="1417" w:type="dxa"/>
            <w:noWrap w:val="0"/>
            <w:vAlign w:val="center"/>
          </w:tcPr>
          <w:p>
            <w:pPr>
              <w:rPr>
                <w:rFonts w:ascii="宋体" w:hAnsi="宋体" w:cs="宋体"/>
                <w:color w:val="000000"/>
                <w:sz w:val="24"/>
              </w:rPr>
            </w:pPr>
            <w:r>
              <w:rPr>
                <w:rFonts w:hint="eastAsia"/>
                <w:color w:val="000000"/>
              </w:rPr>
              <w:t xml:space="preserve">108.93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3</w:t>
            </w:r>
          </w:p>
        </w:tc>
        <w:tc>
          <w:tcPr>
            <w:tcW w:w="3353" w:type="dxa"/>
            <w:noWrap w:val="0"/>
            <w:vAlign w:val="center"/>
          </w:tcPr>
          <w:p>
            <w:pPr>
              <w:rPr>
                <w:rFonts w:ascii="宋体" w:hAnsi="宋体" w:cs="宋体"/>
                <w:color w:val="000000"/>
                <w:sz w:val="24"/>
              </w:rPr>
            </w:pPr>
            <w:r>
              <w:rPr>
                <w:rFonts w:hint="eastAsia"/>
                <w:color w:val="000000"/>
              </w:rPr>
              <w:t>施工监理费</w:t>
            </w:r>
          </w:p>
        </w:tc>
        <w:tc>
          <w:tcPr>
            <w:tcW w:w="2977" w:type="dxa"/>
            <w:noWrap w:val="0"/>
            <w:vAlign w:val="center"/>
          </w:tcPr>
          <w:p>
            <w:pPr>
              <w:rPr>
                <w:rFonts w:ascii="宋体" w:hAnsi="宋体" w:cs="宋体"/>
                <w:color w:val="000000"/>
                <w:sz w:val="24"/>
              </w:rPr>
            </w:pPr>
            <w:r>
              <w:rPr>
                <w:rFonts w:hint="eastAsia"/>
                <w:color w:val="000000"/>
              </w:rPr>
              <w:t>(一)×费率</w:t>
            </w:r>
          </w:p>
        </w:tc>
        <w:tc>
          <w:tcPr>
            <w:tcW w:w="992" w:type="dxa"/>
            <w:noWrap w:val="0"/>
            <w:vAlign w:val="center"/>
          </w:tcPr>
          <w:p>
            <w:pPr>
              <w:rPr>
                <w:rFonts w:ascii="宋体" w:hAnsi="宋体" w:cs="宋体"/>
                <w:color w:val="000000"/>
                <w:sz w:val="24"/>
              </w:rPr>
            </w:pPr>
            <w:r>
              <w:rPr>
                <w:rFonts w:hint="eastAsia"/>
                <w:color w:val="000000"/>
              </w:rPr>
              <w:t>2.50%</w:t>
            </w:r>
          </w:p>
        </w:tc>
        <w:tc>
          <w:tcPr>
            <w:tcW w:w="1417" w:type="dxa"/>
            <w:noWrap w:val="0"/>
            <w:vAlign w:val="center"/>
          </w:tcPr>
          <w:p>
            <w:pPr>
              <w:rPr>
                <w:rFonts w:ascii="宋体" w:hAnsi="宋体" w:cs="宋体"/>
                <w:color w:val="000000"/>
                <w:sz w:val="24"/>
              </w:rPr>
            </w:pPr>
            <w:r>
              <w:rPr>
                <w:rFonts w:hint="eastAsia"/>
                <w:color w:val="000000"/>
              </w:rPr>
              <w:t xml:space="preserve">108.93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trPr>
        <w:tc>
          <w:tcPr>
            <w:tcW w:w="900" w:type="dxa"/>
            <w:noWrap w:val="0"/>
            <w:vAlign w:val="center"/>
          </w:tcPr>
          <w:p>
            <w:pPr>
              <w:jc w:val="center"/>
              <w:rPr>
                <w:rFonts w:ascii="宋体" w:hAnsi="宋体" w:cs="宋体"/>
                <w:color w:val="000000"/>
                <w:sz w:val="24"/>
              </w:rPr>
            </w:pPr>
            <w:r>
              <w:rPr>
                <w:rFonts w:hint="eastAsia"/>
                <w:color w:val="000000"/>
              </w:rPr>
              <w:t>4</w:t>
            </w:r>
          </w:p>
        </w:tc>
        <w:tc>
          <w:tcPr>
            <w:tcW w:w="3353" w:type="dxa"/>
            <w:noWrap w:val="0"/>
            <w:vAlign w:val="center"/>
          </w:tcPr>
          <w:p>
            <w:pPr>
              <w:rPr>
                <w:rFonts w:ascii="宋体" w:hAnsi="宋体" w:cs="宋体"/>
                <w:color w:val="000000"/>
                <w:sz w:val="24"/>
              </w:rPr>
            </w:pPr>
            <w:r>
              <w:rPr>
                <w:rFonts w:hint="eastAsia"/>
                <w:color w:val="000000"/>
              </w:rPr>
              <w:t>工程保险费</w:t>
            </w:r>
          </w:p>
        </w:tc>
        <w:tc>
          <w:tcPr>
            <w:tcW w:w="2977" w:type="dxa"/>
            <w:noWrap w:val="0"/>
            <w:vAlign w:val="center"/>
          </w:tcPr>
          <w:p>
            <w:pPr>
              <w:rPr>
                <w:rFonts w:ascii="宋体" w:hAnsi="宋体" w:cs="宋体"/>
                <w:color w:val="000000"/>
                <w:sz w:val="24"/>
              </w:rPr>
            </w:pPr>
            <w:r>
              <w:rPr>
                <w:rFonts w:hint="eastAsia"/>
                <w:color w:val="000000"/>
              </w:rPr>
              <w:t>(一)×费率</w:t>
            </w:r>
          </w:p>
        </w:tc>
        <w:tc>
          <w:tcPr>
            <w:tcW w:w="992" w:type="dxa"/>
            <w:noWrap w:val="0"/>
            <w:vAlign w:val="center"/>
          </w:tcPr>
          <w:p>
            <w:pPr>
              <w:rPr>
                <w:rFonts w:ascii="宋体" w:hAnsi="宋体" w:cs="宋体"/>
                <w:color w:val="000000"/>
                <w:sz w:val="24"/>
              </w:rPr>
            </w:pPr>
            <w:r>
              <w:rPr>
                <w:rFonts w:hint="eastAsia"/>
                <w:color w:val="000000"/>
              </w:rPr>
              <w:t>0.15%</w:t>
            </w:r>
          </w:p>
        </w:tc>
        <w:tc>
          <w:tcPr>
            <w:tcW w:w="1417" w:type="dxa"/>
            <w:noWrap w:val="0"/>
            <w:vAlign w:val="center"/>
          </w:tcPr>
          <w:p>
            <w:pPr>
              <w:rPr>
                <w:rFonts w:ascii="宋体" w:hAnsi="宋体" w:cs="宋体"/>
                <w:color w:val="000000"/>
                <w:sz w:val="24"/>
              </w:rPr>
            </w:pPr>
            <w:r>
              <w:rPr>
                <w:rFonts w:hint="eastAsia"/>
                <w:color w:val="000000"/>
              </w:rPr>
              <w:t xml:space="preserve">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5</w:t>
            </w:r>
          </w:p>
        </w:tc>
        <w:tc>
          <w:tcPr>
            <w:tcW w:w="3353" w:type="dxa"/>
            <w:noWrap w:val="0"/>
            <w:vAlign w:val="center"/>
          </w:tcPr>
          <w:p>
            <w:pPr>
              <w:rPr>
                <w:rFonts w:ascii="宋体" w:hAnsi="宋体" w:cs="宋体"/>
                <w:color w:val="000000"/>
                <w:sz w:val="24"/>
              </w:rPr>
            </w:pPr>
            <w:r>
              <w:rPr>
                <w:rFonts w:hint="eastAsia"/>
                <w:color w:val="000000"/>
              </w:rPr>
              <w:t>新型墙体材料专项资金</w:t>
            </w:r>
          </w:p>
        </w:tc>
        <w:tc>
          <w:tcPr>
            <w:tcW w:w="2977" w:type="dxa"/>
            <w:noWrap w:val="0"/>
            <w:vAlign w:val="center"/>
          </w:tcPr>
          <w:p>
            <w:pPr>
              <w:rPr>
                <w:rFonts w:ascii="宋体" w:hAnsi="宋体" w:cs="宋体"/>
                <w:color w:val="000000"/>
                <w:sz w:val="24"/>
              </w:rPr>
            </w:pPr>
            <w:r>
              <w:rPr>
                <w:rFonts w:hint="eastAsia"/>
                <w:color w:val="000000"/>
              </w:rPr>
              <w:t>13100㎡×8元／㎡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10.48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6</w:t>
            </w:r>
          </w:p>
        </w:tc>
        <w:tc>
          <w:tcPr>
            <w:tcW w:w="3353" w:type="dxa"/>
            <w:noWrap w:val="0"/>
            <w:vAlign w:val="center"/>
          </w:tcPr>
          <w:p>
            <w:pPr>
              <w:rPr>
                <w:rFonts w:ascii="宋体" w:hAnsi="宋体" w:cs="宋体"/>
                <w:color w:val="000000"/>
                <w:sz w:val="24"/>
              </w:rPr>
            </w:pPr>
            <w:r>
              <w:rPr>
                <w:rFonts w:hint="eastAsia"/>
                <w:color w:val="000000"/>
              </w:rPr>
              <w:t>散装水泥专项资金</w:t>
            </w:r>
          </w:p>
        </w:tc>
        <w:tc>
          <w:tcPr>
            <w:tcW w:w="2977" w:type="dxa"/>
            <w:noWrap w:val="0"/>
            <w:vAlign w:val="center"/>
          </w:tcPr>
          <w:p>
            <w:pPr>
              <w:rPr>
                <w:rFonts w:ascii="宋体" w:hAnsi="宋体" w:cs="宋体"/>
                <w:color w:val="000000"/>
                <w:sz w:val="24"/>
              </w:rPr>
            </w:pPr>
            <w:r>
              <w:rPr>
                <w:rFonts w:hint="eastAsia"/>
                <w:color w:val="000000"/>
              </w:rPr>
              <w:t>13100㎡×1.5元／㎡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1.97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7</w:t>
            </w:r>
          </w:p>
        </w:tc>
        <w:tc>
          <w:tcPr>
            <w:tcW w:w="3353" w:type="dxa"/>
            <w:noWrap w:val="0"/>
            <w:vAlign w:val="center"/>
          </w:tcPr>
          <w:p>
            <w:pPr>
              <w:rPr>
                <w:rFonts w:ascii="宋体" w:hAnsi="宋体" w:cs="宋体"/>
                <w:color w:val="000000"/>
                <w:sz w:val="24"/>
              </w:rPr>
            </w:pPr>
            <w:r>
              <w:rPr>
                <w:rFonts w:hint="eastAsia"/>
                <w:color w:val="000000"/>
              </w:rPr>
              <w:t>白蚁防治费</w:t>
            </w:r>
          </w:p>
        </w:tc>
        <w:tc>
          <w:tcPr>
            <w:tcW w:w="2977" w:type="dxa"/>
            <w:noWrap w:val="0"/>
            <w:vAlign w:val="center"/>
          </w:tcPr>
          <w:p>
            <w:pPr>
              <w:rPr>
                <w:rFonts w:ascii="宋体" w:hAnsi="宋体" w:cs="宋体"/>
                <w:color w:val="000000"/>
                <w:sz w:val="24"/>
              </w:rPr>
            </w:pPr>
            <w:r>
              <w:rPr>
                <w:rFonts w:hint="eastAsia"/>
                <w:color w:val="000000"/>
              </w:rPr>
              <w:t>13100㎡×1.6元／㎡</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8</w:t>
            </w:r>
          </w:p>
        </w:tc>
        <w:tc>
          <w:tcPr>
            <w:tcW w:w="3353" w:type="dxa"/>
            <w:noWrap w:val="0"/>
            <w:vAlign w:val="center"/>
          </w:tcPr>
          <w:p>
            <w:pPr>
              <w:rPr>
                <w:rFonts w:ascii="宋体" w:hAnsi="宋体" w:cs="宋体"/>
                <w:color w:val="000000"/>
                <w:sz w:val="24"/>
              </w:rPr>
            </w:pPr>
            <w:r>
              <w:rPr>
                <w:rFonts w:hint="eastAsia"/>
                <w:color w:val="000000"/>
              </w:rPr>
              <w:t>环境影响评价费</w:t>
            </w:r>
          </w:p>
        </w:tc>
        <w:tc>
          <w:tcPr>
            <w:tcW w:w="2977" w:type="dxa"/>
            <w:noWrap w:val="0"/>
            <w:vAlign w:val="center"/>
          </w:tcPr>
          <w:p>
            <w:pPr>
              <w:rPr>
                <w:rFonts w:ascii="宋体" w:hAnsi="宋体" w:cs="宋体"/>
                <w:color w:val="000000"/>
                <w:sz w:val="24"/>
              </w:rPr>
            </w:pPr>
            <w:r>
              <w:rPr>
                <w:rFonts w:hint="eastAsia"/>
                <w:color w:val="000000"/>
              </w:rPr>
              <w:t>估</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00" w:type="dxa"/>
            <w:noWrap w:val="0"/>
            <w:vAlign w:val="center"/>
          </w:tcPr>
          <w:p>
            <w:pPr>
              <w:jc w:val="center"/>
              <w:rPr>
                <w:rFonts w:ascii="宋体" w:hAnsi="宋体" w:cs="宋体"/>
                <w:color w:val="000000"/>
                <w:sz w:val="24"/>
              </w:rPr>
            </w:pPr>
            <w:r>
              <w:rPr>
                <w:rFonts w:hint="eastAsia"/>
                <w:color w:val="000000"/>
              </w:rPr>
              <w:t>9</w:t>
            </w:r>
          </w:p>
        </w:tc>
        <w:tc>
          <w:tcPr>
            <w:tcW w:w="3353" w:type="dxa"/>
            <w:noWrap w:val="0"/>
            <w:vAlign w:val="center"/>
          </w:tcPr>
          <w:p>
            <w:pPr>
              <w:rPr>
                <w:rFonts w:ascii="宋体" w:hAnsi="宋体" w:cs="宋体"/>
                <w:color w:val="000000"/>
                <w:sz w:val="24"/>
              </w:rPr>
            </w:pPr>
            <w:r>
              <w:rPr>
                <w:rFonts w:hint="eastAsia"/>
                <w:color w:val="000000"/>
              </w:rPr>
              <w:t>项目建议书及可研编制费</w:t>
            </w:r>
          </w:p>
        </w:tc>
        <w:tc>
          <w:tcPr>
            <w:tcW w:w="2977" w:type="dxa"/>
            <w:noWrap w:val="0"/>
            <w:vAlign w:val="center"/>
          </w:tcPr>
          <w:p>
            <w:pPr>
              <w:rPr>
                <w:rFonts w:ascii="宋体" w:hAnsi="宋体" w:cs="宋体"/>
                <w:color w:val="000000"/>
                <w:sz w:val="24"/>
              </w:rPr>
            </w:pPr>
            <w:r>
              <w:rPr>
                <w:rFonts w:hint="eastAsia"/>
                <w:color w:val="000000"/>
              </w:rPr>
              <w:t>市场价</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color w:val="000000"/>
                <w:sz w:val="24"/>
              </w:rPr>
            </w:pPr>
            <w:r>
              <w:rPr>
                <w:rFonts w:hint="eastAsia"/>
                <w:color w:val="000000"/>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3" w:hRule="atLeast"/>
        </w:trPr>
        <w:tc>
          <w:tcPr>
            <w:tcW w:w="900" w:type="dxa"/>
            <w:noWrap w:val="0"/>
            <w:vAlign w:val="center"/>
          </w:tcPr>
          <w:p>
            <w:pPr>
              <w:jc w:val="center"/>
              <w:rPr>
                <w:rFonts w:ascii="宋体" w:hAnsi="宋体" w:cs="宋体"/>
                <w:color w:val="000000"/>
                <w:sz w:val="24"/>
              </w:rPr>
            </w:pPr>
            <w:r>
              <w:rPr>
                <w:rFonts w:hint="eastAsia"/>
                <w:color w:val="000000"/>
              </w:rPr>
              <w:t>10</w:t>
            </w:r>
          </w:p>
        </w:tc>
        <w:tc>
          <w:tcPr>
            <w:tcW w:w="3353" w:type="dxa"/>
            <w:noWrap w:val="0"/>
            <w:vAlign w:val="center"/>
          </w:tcPr>
          <w:p>
            <w:pPr>
              <w:rPr>
                <w:rFonts w:ascii="宋体" w:hAnsi="宋体" w:cs="宋体"/>
                <w:color w:val="000000"/>
                <w:sz w:val="24"/>
              </w:rPr>
            </w:pPr>
            <w:r>
              <w:rPr>
                <w:rFonts w:hint="eastAsia"/>
                <w:color w:val="000000"/>
              </w:rPr>
              <w:t>劳动安全卫生评价费</w:t>
            </w:r>
          </w:p>
        </w:tc>
        <w:tc>
          <w:tcPr>
            <w:tcW w:w="2977" w:type="dxa"/>
            <w:noWrap w:val="0"/>
            <w:vAlign w:val="center"/>
          </w:tcPr>
          <w:p>
            <w:pPr>
              <w:rPr>
                <w:rFonts w:ascii="宋体" w:hAnsi="宋体" w:cs="宋体"/>
                <w:color w:val="000000"/>
                <w:sz w:val="24"/>
              </w:rPr>
            </w:pPr>
            <w:r>
              <w:rPr>
                <w:rFonts w:hint="eastAsia"/>
                <w:color w:val="000000"/>
              </w:rPr>
              <w:t>(一)×费率</w:t>
            </w:r>
          </w:p>
        </w:tc>
        <w:tc>
          <w:tcPr>
            <w:tcW w:w="992" w:type="dxa"/>
            <w:noWrap w:val="0"/>
            <w:vAlign w:val="center"/>
          </w:tcPr>
          <w:p>
            <w:pPr>
              <w:rPr>
                <w:rFonts w:ascii="宋体" w:hAnsi="宋体" w:cs="宋体"/>
                <w:color w:val="000000"/>
                <w:sz w:val="24"/>
              </w:rPr>
            </w:pPr>
            <w:r>
              <w:rPr>
                <w:rFonts w:hint="eastAsia"/>
                <w:color w:val="000000"/>
              </w:rPr>
              <w:t>0.05%</w:t>
            </w:r>
          </w:p>
        </w:tc>
        <w:tc>
          <w:tcPr>
            <w:tcW w:w="1417" w:type="dxa"/>
            <w:noWrap w:val="0"/>
            <w:vAlign w:val="center"/>
          </w:tcPr>
          <w:p>
            <w:pPr>
              <w:rPr>
                <w:rFonts w:ascii="宋体" w:hAnsi="宋体" w:cs="宋体"/>
                <w:color w:val="000000"/>
                <w:sz w:val="24"/>
              </w:rPr>
            </w:pPr>
            <w:r>
              <w:rPr>
                <w:rFonts w:hint="eastAsia"/>
                <w:color w:val="000000"/>
              </w:rPr>
              <w:t xml:space="preserve">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900" w:type="dxa"/>
            <w:noWrap w:val="0"/>
            <w:vAlign w:val="center"/>
          </w:tcPr>
          <w:p>
            <w:pPr>
              <w:jc w:val="center"/>
              <w:rPr>
                <w:rFonts w:ascii="宋体" w:hAnsi="宋体" w:cs="宋体"/>
                <w:color w:val="000000"/>
                <w:sz w:val="24"/>
              </w:rPr>
            </w:pPr>
            <w:r>
              <w:rPr>
                <w:rFonts w:hint="eastAsia"/>
                <w:color w:val="000000"/>
              </w:rPr>
              <w:t>11</w:t>
            </w:r>
          </w:p>
        </w:tc>
        <w:tc>
          <w:tcPr>
            <w:tcW w:w="3353" w:type="dxa"/>
            <w:noWrap w:val="0"/>
            <w:vAlign w:val="center"/>
          </w:tcPr>
          <w:p>
            <w:pPr>
              <w:rPr>
                <w:rFonts w:ascii="宋体" w:hAnsi="宋体" w:cs="宋体"/>
                <w:color w:val="000000"/>
                <w:sz w:val="24"/>
              </w:rPr>
            </w:pPr>
            <w:r>
              <w:rPr>
                <w:rFonts w:hint="eastAsia"/>
                <w:color w:val="000000"/>
              </w:rPr>
              <w:t>场地准备及临时设施费</w:t>
            </w:r>
          </w:p>
        </w:tc>
        <w:tc>
          <w:tcPr>
            <w:tcW w:w="2977" w:type="dxa"/>
            <w:noWrap w:val="0"/>
            <w:vAlign w:val="center"/>
          </w:tcPr>
          <w:p>
            <w:pPr>
              <w:rPr>
                <w:rFonts w:ascii="宋体" w:hAnsi="宋体" w:cs="宋体"/>
                <w:color w:val="000000"/>
                <w:sz w:val="24"/>
              </w:rPr>
            </w:pPr>
            <w:r>
              <w:rPr>
                <w:rFonts w:hint="eastAsia"/>
                <w:color w:val="000000"/>
              </w:rPr>
              <w:t>(一)×费率</w:t>
            </w:r>
          </w:p>
        </w:tc>
        <w:tc>
          <w:tcPr>
            <w:tcW w:w="992" w:type="dxa"/>
            <w:noWrap w:val="0"/>
            <w:vAlign w:val="center"/>
          </w:tcPr>
          <w:p>
            <w:pPr>
              <w:rPr>
                <w:rFonts w:ascii="宋体" w:hAnsi="宋体" w:cs="宋体"/>
                <w:color w:val="000000"/>
                <w:sz w:val="24"/>
              </w:rPr>
            </w:pPr>
            <w:r>
              <w:rPr>
                <w:rFonts w:hint="eastAsia"/>
                <w:color w:val="000000"/>
              </w:rPr>
              <w:t>0.80%</w:t>
            </w:r>
          </w:p>
        </w:tc>
        <w:tc>
          <w:tcPr>
            <w:tcW w:w="1417" w:type="dxa"/>
            <w:noWrap w:val="0"/>
            <w:vAlign w:val="center"/>
          </w:tcPr>
          <w:p>
            <w:pPr>
              <w:rPr>
                <w:rFonts w:ascii="宋体" w:hAnsi="宋体" w:cs="宋体"/>
                <w:color w:val="000000"/>
                <w:sz w:val="24"/>
              </w:rPr>
            </w:pPr>
            <w:r>
              <w:rPr>
                <w:rFonts w:hint="eastAsia"/>
                <w:color w:val="000000"/>
              </w:rPr>
              <w:t xml:space="preserve">34.86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900" w:type="dxa"/>
            <w:noWrap w:val="0"/>
            <w:vAlign w:val="center"/>
          </w:tcPr>
          <w:p>
            <w:pPr>
              <w:jc w:val="center"/>
              <w:rPr>
                <w:rFonts w:ascii="宋体" w:hAnsi="宋体" w:cs="宋体"/>
                <w:b/>
                <w:bCs/>
                <w:color w:val="000000"/>
                <w:sz w:val="24"/>
              </w:rPr>
            </w:pPr>
            <w:r>
              <w:rPr>
                <w:rFonts w:hint="eastAsia"/>
                <w:b/>
                <w:bCs/>
                <w:color w:val="000000"/>
              </w:rPr>
              <w:t>五</w:t>
            </w:r>
          </w:p>
        </w:tc>
        <w:tc>
          <w:tcPr>
            <w:tcW w:w="3353" w:type="dxa"/>
            <w:noWrap w:val="0"/>
            <w:vAlign w:val="center"/>
          </w:tcPr>
          <w:p>
            <w:pPr>
              <w:rPr>
                <w:rFonts w:ascii="宋体" w:hAnsi="宋体" w:cs="宋体"/>
                <w:b/>
                <w:bCs/>
                <w:color w:val="000000"/>
                <w:sz w:val="24"/>
              </w:rPr>
            </w:pPr>
            <w:r>
              <w:rPr>
                <w:rFonts w:hint="eastAsia"/>
                <w:b/>
                <w:bCs/>
                <w:color w:val="000000"/>
              </w:rPr>
              <w:t>预备费</w:t>
            </w:r>
          </w:p>
        </w:tc>
        <w:tc>
          <w:tcPr>
            <w:tcW w:w="2977" w:type="dxa"/>
            <w:noWrap w:val="0"/>
            <w:vAlign w:val="center"/>
          </w:tcPr>
          <w:p>
            <w:pPr>
              <w:rPr>
                <w:rFonts w:ascii="宋体" w:hAnsi="宋体" w:cs="宋体"/>
                <w:b/>
                <w:bCs/>
                <w:color w:val="000000"/>
                <w:sz w:val="24"/>
              </w:rPr>
            </w:pPr>
            <w:r>
              <w:rPr>
                <w:rFonts w:hint="eastAsia"/>
                <w:b/>
                <w:bCs/>
                <w:color w:val="000000"/>
              </w:rPr>
              <w:t>（一）+（二）+（三）+（四）</w:t>
            </w:r>
          </w:p>
        </w:tc>
        <w:tc>
          <w:tcPr>
            <w:tcW w:w="992" w:type="dxa"/>
            <w:noWrap w:val="0"/>
            <w:vAlign w:val="center"/>
          </w:tcPr>
          <w:p>
            <w:pPr>
              <w:rPr>
                <w:rFonts w:ascii="宋体" w:hAnsi="宋体" w:cs="宋体"/>
                <w:b/>
                <w:bCs/>
                <w:color w:val="000000"/>
                <w:sz w:val="24"/>
              </w:rPr>
            </w:pPr>
            <w:r>
              <w:rPr>
                <w:rFonts w:hint="eastAsia"/>
                <w:b/>
                <w:bCs/>
                <w:color w:val="000000"/>
              </w:rPr>
              <w:t>2.00%</w:t>
            </w:r>
          </w:p>
        </w:tc>
        <w:tc>
          <w:tcPr>
            <w:tcW w:w="1417" w:type="dxa"/>
            <w:noWrap w:val="0"/>
            <w:vAlign w:val="center"/>
          </w:tcPr>
          <w:p>
            <w:pPr>
              <w:rPr>
                <w:rFonts w:ascii="宋体" w:hAnsi="宋体" w:cs="宋体"/>
                <w:b/>
                <w:bCs/>
                <w:color w:val="000000"/>
                <w:sz w:val="24"/>
              </w:rPr>
            </w:pPr>
            <w:r>
              <w:rPr>
                <w:rFonts w:hint="eastAsia"/>
                <w:b/>
                <w:bCs/>
                <w:color w:val="000000"/>
              </w:rPr>
              <w:t xml:space="preserve">108.88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900" w:type="dxa"/>
            <w:noWrap w:val="0"/>
            <w:vAlign w:val="center"/>
          </w:tcPr>
          <w:p>
            <w:pPr>
              <w:jc w:val="center"/>
              <w:rPr>
                <w:rFonts w:ascii="宋体" w:hAnsi="宋体" w:cs="宋体"/>
                <w:b/>
                <w:bCs/>
                <w:color w:val="000000"/>
                <w:sz w:val="24"/>
              </w:rPr>
            </w:pPr>
            <w:r>
              <w:rPr>
                <w:rFonts w:hint="eastAsia"/>
                <w:b/>
                <w:bCs/>
                <w:color w:val="000000"/>
              </w:rPr>
              <w:t>六</w:t>
            </w:r>
          </w:p>
        </w:tc>
        <w:tc>
          <w:tcPr>
            <w:tcW w:w="3353" w:type="dxa"/>
            <w:noWrap w:val="0"/>
            <w:vAlign w:val="center"/>
          </w:tcPr>
          <w:p>
            <w:pPr>
              <w:rPr>
                <w:rFonts w:ascii="宋体" w:hAnsi="宋体" w:cs="宋体"/>
                <w:b/>
                <w:bCs/>
                <w:color w:val="000000"/>
                <w:sz w:val="24"/>
              </w:rPr>
            </w:pPr>
            <w:r>
              <w:rPr>
                <w:rFonts w:hint="eastAsia"/>
                <w:b/>
                <w:bCs/>
                <w:color w:val="000000"/>
              </w:rPr>
              <w:t>项目估算总费用</w:t>
            </w:r>
          </w:p>
        </w:tc>
        <w:tc>
          <w:tcPr>
            <w:tcW w:w="2977" w:type="dxa"/>
            <w:noWrap w:val="0"/>
            <w:vAlign w:val="center"/>
          </w:tcPr>
          <w:p>
            <w:pPr>
              <w:rPr>
                <w:rFonts w:ascii="宋体" w:hAnsi="宋体" w:cs="宋体"/>
                <w:b/>
                <w:bCs/>
                <w:color w:val="000000"/>
                <w:sz w:val="24"/>
              </w:rPr>
            </w:pPr>
            <w:r>
              <w:rPr>
                <w:rFonts w:hint="eastAsia"/>
                <w:b/>
                <w:bCs/>
                <w:color w:val="000000"/>
              </w:rPr>
              <w:t>（一）+（二）+（三）+（四）+（五）</w:t>
            </w:r>
          </w:p>
        </w:tc>
        <w:tc>
          <w:tcPr>
            <w:tcW w:w="992" w:type="dxa"/>
            <w:noWrap w:val="0"/>
            <w:vAlign w:val="center"/>
          </w:tcPr>
          <w:p>
            <w:pPr>
              <w:rPr>
                <w:rFonts w:ascii="宋体" w:hAnsi="宋体" w:cs="宋体"/>
                <w:color w:val="000000"/>
                <w:sz w:val="24"/>
              </w:rPr>
            </w:pPr>
            <w:r>
              <w:rPr>
                <w:rFonts w:hint="eastAsia"/>
                <w:color w:val="000000"/>
              </w:rPr>
              <w:t>　</w:t>
            </w:r>
          </w:p>
        </w:tc>
        <w:tc>
          <w:tcPr>
            <w:tcW w:w="1417" w:type="dxa"/>
            <w:noWrap w:val="0"/>
            <w:vAlign w:val="center"/>
          </w:tcPr>
          <w:p>
            <w:pPr>
              <w:rPr>
                <w:rFonts w:ascii="宋体" w:hAnsi="宋体" w:cs="宋体"/>
                <w:b/>
                <w:bCs/>
                <w:color w:val="000000"/>
                <w:sz w:val="24"/>
              </w:rPr>
            </w:pPr>
            <w:r>
              <w:rPr>
                <w:rFonts w:hint="eastAsia"/>
                <w:b/>
                <w:bCs/>
                <w:color w:val="000000"/>
              </w:rPr>
              <w:t xml:space="preserve">5553.04 </w:t>
            </w:r>
          </w:p>
        </w:tc>
      </w:tr>
    </w:tbl>
    <w:p>
      <w:pPr>
        <w:spacing w:line="360" w:lineRule="auto"/>
        <w:rPr>
          <w:rFonts w:hint="eastAsia" w:ascii="宋体" w:hAnsi="宋体"/>
          <w:b/>
          <w:sz w:val="28"/>
          <w:szCs w:val="28"/>
        </w:rPr>
      </w:pPr>
    </w:p>
    <w:p>
      <w:pPr>
        <w:spacing w:line="360" w:lineRule="auto"/>
        <w:rPr>
          <w:sz w:val="28"/>
          <w:szCs w:val="28"/>
        </w:rPr>
      </w:pPr>
      <w:r>
        <w:rPr>
          <w:rFonts w:hint="eastAsia" w:ascii="宋体" w:hAnsi="宋体"/>
          <w:b/>
          <w:sz w:val="28"/>
          <w:szCs w:val="28"/>
        </w:rPr>
        <w:t>三、建设项目资金筹措：</w:t>
      </w:r>
      <w:r>
        <w:rPr>
          <w:rFonts w:hint="eastAsia" w:ascii="宋体" w:hAnsi="宋体"/>
          <w:sz w:val="28"/>
          <w:szCs w:val="28"/>
        </w:rPr>
        <w:t>本项目总投资5553万元，</w:t>
      </w:r>
      <w:r>
        <w:rPr>
          <w:rFonts w:hAnsi="宋体"/>
          <w:sz w:val="28"/>
          <w:szCs w:val="28"/>
        </w:rPr>
        <w:t>资金全部由</w:t>
      </w:r>
      <w:r>
        <w:rPr>
          <w:rFonts w:hint="eastAsia" w:ascii="宋体" w:hAnsi="宋体"/>
          <w:sz w:val="28"/>
          <w:szCs w:val="28"/>
        </w:rPr>
        <w:t>天台县财政局</w:t>
      </w:r>
      <w:r>
        <w:rPr>
          <w:rFonts w:hint="eastAsia" w:hAnsi="宋体"/>
          <w:bCs/>
          <w:sz w:val="28"/>
          <w:szCs w:val="28"/>
        </w:rPr>
        <w:t>统筹</w:t>
      </w:r>
      <w:r>
        <w:rPr>
          <w:rFonts w:hAnsi="宋体"/>
          <w:bCs/>
          <w:sz w:val="28"/>
          <w:szCs w:val="28"/>
        </w:rPr>
        <w:t>解决</w:t>
      </w:r>
      <w:r>
        <w:rPr>
          <w:sz w:val="28"/>
        </w:rPr>
        <w:t>。</w:t>
      </w:r>
    </w:p>
    <w:p>
      <w:pPr>
        <w:spacing w:line="360" w:lineRule="auto"/>
        <w:jc w:val="center"/>
        <w:rPr>
          <w:rFonts w:hint="eastAsia" w:eastAsia="黑体"/>
          <w:b/>
          <w:bCs/>
          <w:sz w:val="44"/>
          <w:szCs w:val="44"/>
        </w:rPr>
      </w:pPr>
      <w:r>
        <w:rPr>
          <w:rFonts w:hint="eastAsia" w:eastAsia="黑体"/>
          <w:b/>
          <w:bCs/>
          <w:sz w:val="44"/>
          <w:szCs w:val="44"/>
        </w:rPr>
        <w:t>设备、采购方案预算</w:t>
      </w:r>
    </w:p>
    <w:tbl>
      <w:tblPr>
        <w:tblStyle w:val="13"/>
        <w:tblpPr w:leftFromText="180" w:rightFromText="180" w:vertAnchor="page" w:horzAnchor="margin" w:tblpY="2386"/>
        <w:tblW w:w="9673" w:type="dxa"/>
        <w:tblInd w:w="0" w:type="dxa"/>
        <w:tblLayout w:type="fixed"/>
        <w:tblCellMar>
          <w:top w:w="0" w:type="dxa"/>
          <w:left w:w="108" w:type="dxa"/>
          <w:bottom w:w="0" w:type="dxa"/>
          <w:right w:w="108" w:type="dxa"/>
        </w:tblCellMar>
      </w:tblPr>
      <w:tblGrid>
        <w:gridCol w:w="534"/>
        <w:gridCol w:w="3260"/>
        <w:gridCol w:w="850"/>
        <w:gridCol w:w="1134"/>
        <w:gridCol w:w="1418"/>
        <w:gridCol w:w="2477"/>
      </w:tblGrid>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28"/>
                <w:szCs w:val="28"/>
              </w:rPr>
            </w:pPr>
            <w:r>
              <w:rPr>
                <w:rFonts w:hint="eastAsia" w:ascii="宋体" w:hAnsi="宋体" w:cs="宋体"/>
                <w:kern w:val="0"/>
                <w:sz w:val="28"/>
                <w:szCs w:val="28"/>
              </w:rPr>
              <w:t>序号</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项目名称</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数量</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单价</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总价</w:t>
            </w:r>
          </w:p>
        </w:tc>
        <w:tc>
          <w:tcPr>
            <w:tcW w:w="2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备注</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bookmarkStart w:id="40" w:name="OLE_LINK1" w:colFirst="4" w:colLast="68"/>
            <w:r>
              <w:rPr>
                <w:rFonts w:hint="eastAsia"/>
                <w:color w:val="000000"/>
                <w:sz w:val="28"/>
                <w:szCs w:val="28"/>
              </w:rPr>
              <w:t>1</w:t>
            </w:r>
          </w:p>
        </w:tc>
        <w:tc>
          <w:tcPr>
            <w:tcW w:w="3260"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普通教室多媒体</w:t>
            </w:r>
          </w:p>
        </w:tc>
        <w:tc>
          <w:tcPr>
            <w:tcW w:w="850"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12</w:t>
            </w:r>
          </w:p>
        </w:tc>
        <w:tc>
          <w:tcPr>
            <w:tcW w:w="1134"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20000</w:t>
            </w:r>
          </w:p>
        </w:tc>
        <w:tc>
          <w:tcPr>
            <w:tcW w:w="1418"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240000</w:t>
            </w:r>
          </w:p>
        </w:tc>
        <w:tc>
          <w:tcPr>
            <w:tcW w:w="2477"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电子白板型</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2</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专用教室多媒体</w:t>
            </w: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160000</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专用教室投影等设备</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3</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计算机教室</w:t>
            </w: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150000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300000</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50+1台，投影</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4</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报告厅座椅</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1个400人报告厅</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5</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会议室多媒体</w:t>
            </w: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50000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100000</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大小会议室各一个</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6</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会议室桌凳</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30000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60000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2（个）</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nil"/>
              <w:left w:val="single" w:color="auto" w:sz="4" w:space="0"/>
              <w:bottom w:val="nil"/>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7</w:t>
            </w:r>
          </w:p>
        </w:tc>
        <w:tc>
          <w:tcPr>
            <w:tcW w:w="3260" w:type="dxa"/>
            <w:tcBorders>
              <w:top w:val="nil"/>
              <w:left w:val="single" w:color="auto" w:sz="4" w:space="0"/>
              <w:bottom w:val="nil"/>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音响灯光设备</w:t>
            </w:r>
          </w:p>
        </w:tc>
        <w:tc>
          <w:tcPr>
            <w:tcW w:w="850"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w:t>
            </w:r>
          </w:p>
        </w:tc>
        <w:tc>
          <w:tcPr>
            <w:tcW w:w="1134"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150000</w:t>
            </w:r>
          </w:p>
        </w:tc>
        <w:tc>
          <w:tcPr>
            <w:tcW w:w="1418"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150000</w:t>
            </w:r>
          </w:p>
        </w:tc>
        <w:tc>
          <w:tcPr>
            <w:tcW w:w="2477"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8</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管理、办公计算机</w:t>
            </w:r>
          </w:p>
        </w:tc>
        <w:tc>
          <w:tcPr>
            <w:tcW w:w="850"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60</w:t>
            </w:r>
          </w:p>
        </w:tc>
        <w:tc>
          <w:tcPr>
            <w:tcW w:w="1134"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3000</w:t>
            </w:r>
          </w:p>
        </w:tc>
        <w:tc>
          <w:tcPr>
            <w:tcW w:w="1418"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180000</w:t>
            </w:r>
          </w:p>
        </w:tc>
        <w:tc>
          <w:tcPr>
            <w:tcW w:w="2477" w:type="dxa"/>
            <w:tcBorders>
              <w:top w:val="nil"/>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9</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仪器橱、药品橱、陈列柜</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12</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12000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各仪器室、器材室</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10</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图书</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8000</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80000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按生均20册，10元/册配备</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nil"/>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11</w:t>
            </w:r>
          </w:p>
        </w:tc>
        <w:tc>
          <w:tcPr>
            <w:tcW w:w="3260" w:type="dxa"/>
            <w:tcBorders>
              <w:top w:val="single" w:color="auto" w:sz="4" w:space="0"/>
              <w:left w:val="single" w:color="auto" w:sz="4" w:space="0"/>
              <w:bottom w:val="nil"/>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图书馆书橱、书架</w:t>
            </w:r>
          </w:p>
        </w:tc>
        <w:tc>
          <w:tcPr>
            <w:tcW w:w="850" w:type="dxa"/>
            <w:tcBorders>
              <w:top w:val="single" w:color="auto" w:sz="4" w:space="0"/>
              <w:left w:val="nil"/>
              <w:bottom w:val="nil"/>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12</w:t>
            </w:r>
          </w:p>
        </w:tc>
        <w:tc>
          <w:tcPr>
            <w:tcW w:w="1134" w:type="dxa"/>
            <w:tcBorders>
              <w:top w:val="single" w:color="auto" w:sz="4" w:space="0"/>
              <w:left w:val="nil"/>
              <w:bottom w:val="nil"/>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w:t>
            </w:r>
          </w:p>
        </w:tc>
        <w:tc>
          <w:tcPr>
            <w:tcW w:w="1418" w:type="dxa"/>
            <w:tcBorders>
              <w:top w:val="single" w:color="auto" w:sz="4" w:space="0"/>
              <w:left w:val="nil"/>
              <w:bottom w:val="nil"/>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12000</w:t>
            </w:r>
          </w:p>
        </w:tc>
        <w:tc>
          <w:tcPr>
            <w:tcW w:w="2477" w:type="dxa"/>
            <w:tcBorders>
              <w:top w:val="single" w:color="auto" w:sz="4" w:space="0"/>
              <w:left w:val="nil"/>
              <w:bottom w:val="nil"/>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不包括桌凳</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12</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图书管理系统</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采用计算机管理</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13</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黑板</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80</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160000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14</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教师办公桌</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50</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50000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15</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课桌凳</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16</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档案橱</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25</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600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15000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17</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LED显示屏</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18</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打印机、复印机</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50000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19</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窗帘</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150000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20</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空调设备</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21</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体育设备</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100000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22</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音乐、美术、劳技设备</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150000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23</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书法教室设备</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80000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24</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厨具</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8"/>
                <w:szCs w:val="28"/>
              </w:rPr>
            </w:pPr>
            <w:r>
              <w:rPr>
                <w:rFonts w:hint="eastAsia"/>
                <w:color w:val="000000"/>
                <w:sz w:val="28"/>
                <w:szCs w:val="28"/>
              </w:rPr>
              <w:t>25</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餐厅桌椅</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200</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700</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140000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bookmarkEnd w:id="40"/>
      <w:tr>
        <w:tblPrEx>
          <w:tblCellMar>
            <w:top w:w="0" w:type="dxa"/>
            <w:left w:w="108" w:type="dxa"/>
            <w:bottom w:w="0" w:type="dxa"/>
            <w:right w:w="108" w:type="dxa"/>
          </w:tblCellMar>
        </w:tblPrEx>
        <w:trPr>
          <w:wBefore w:w="0" w:type="dxa"/>
          <w:wAfter w:w="0" w:type="dxa"/>
          <w:trHeight w:val="2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 w:val="28"/>
                <w:szCs w:val="28"/>
              </w:rPr>
            </w:pPr>
            <w:r>
              <w:rPr>
                <w:rFonts w:hint="eastAsia"/>
                <w:b/>
                <w:bCs/>
                <w:color w:val="000000"/>
                <w:sz w:val="28"/>
                <w:szCs w:val="28"/>
              </w:rPr>
              <w:t>　</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 w:val="28"/>
                <w:szCs w:val="28"/>
              </w:rPr>
            </w:pPr>
            <w:r>
              <w:rPr>
                <w:rFonts w:hint="eastAsia"/>
                <w:b/>
                <w:bCs/>
                <w:color w:val="000000"/>
                <w:sz w:val="28"/>
                <w:szCs w:val="28"/>
              </w:rPr>
              <w:t>总计</w:t>
            </w:r>
          </w:p>
        </w:tc>
        <w:tc>
          <w:tcPr>
            <w:tcW w:w="85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134"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rPr>
                <w:rFonts w:ascii="宋体" w:hAnsi="宋体" w:cs="宋体"/>
                <w:b/>
                <w:bCs/>
                <w:color w:val="000000"/>
                <w:sz w:val="28"/>
                <w:szCs w:val="28"/>
              </w:rPr>
            </w:pPr>
            <w:r>
              <w:rPr>
                <w:rFonts w:hint="eastAsia"/>
                <w:b/>
                <w:bCs/>
                <w:color w:val="000000"/>
                <w:sz w:val="28"/>
                <w:szCs w:val="28"/>
              </w:rPr>
              <w:t>3099000</w:t>
            </w:r>
          </w:p>
        </w:tc>
        <w:tc>
          <w:tcPr>
            <w:tcW w:w="247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8"/>
                <w:szCs w:val="28"/>
              </w:rPr>
            </w:pPr>
            <w:r>
              <w:rPr>
                <w:rFonts w:hint="eastAsia"/>
                <w:color w:val="000000"/>
                <w:sz w:val="28"/>
                <w:szCs w:val="28"/>
              </w:rPr>
              <w:t>　</w:t>
            </w:r>
          </w:p>
        </w:tc>
      </w:tr>
    </w:tbl>
    <w:p>
      <w:pPr>
        <w:spacing w:line="360" w:lineRule="auto"/>
        <w:ind w:right="560"/>
        <w:jc w:val="center"/>
        <w:outlineLvl w:val="0"/>
        <w:rPr>
          <w:rFonts w:hint="eastAsia" w:ascii="宋体" w:hAnsi="宋体"/>
          <w:b/>
          <w:sz w:val="52"/>
          <w:szCs w:val="52"/>
        </w:rPr>
      </w:pPr>
      <w:r>
        <w:rPr>
          <w:rFonts w:ascii="宋体" w:hAnsi="宋体"/>
          <w:b/>
          <w:sz w:val="30"/>
          <w:szCs w:val="30"/>
        </w:rPr>
        <w:br w:type="column"/>
      </w:r>
      <w:bookmarkStart w:id="41" w:name="_Toc384843025"/>
      <w:bookmarkStart w:id="42" w:name="_Toc432430966"/>
      <w:bookmarkStart w:id="43" w:name="_Toc383449582"/>
      <w:bookmarkStart w:id="44" w:name="_Toc496105218"/>
      <w:r>
        <w:rPr>
          <w:rFonts w:hint="eastAsia" w:ascii="宋体" w:hAnsi="宋体"/>
          <w:b/>
          <w:sz w:val="52"/>
          <w:szCs w:val="52"/>
        </w:rPr>
        <w:t>第十二节  项目招投标</w:t>
      </w:r>
      <w:bookmarkEnd w:id="41"/>
      <w:bookmarkEnd w:id="42"/>
      <w:bookmarkEnd w:id="43"/>
      <w:bookmarkEnd w:id="44"/>
    </w:p>
    <w:p>
      <w:pPr>
        <w:spacing w:line="360" w:lineRule="auto"/>
        <w:ind w:firstLine="560" w:firstLineChars="200"/>
        <w:rPr>
          <w:rFonts w:hint="eastAsia" w:ascii="宋体" w:hAnsi="宋体"/>
          <w:sz w:val="28"/>
          <w:szCs w:val="28"/>
        </w:rPr>
      </w:pPr>
      <w:r>
        <w:rPr>
          <w:rFonts w:hint="eastAsia" w:ascii="宋体" w:hAnsi="宋体"/>
          <w:sz w:val="28"/>
          <w:szCs w:val="28"/>
        </w:rPr>
        <w:t>为了确保项目建设的工程质量，缩短工程建设期，防范和化解工程建设中的违规行为，保护国家利益，特制订本项目招投标方案。</w:t>
      </w:r>
    </w:p>
    <w:p>
      <w:pPr>
        <w:spacing w:line="360" w:lineRule="auto"/>
        <w:ind w:firstLine="562" w:firstLineChars="200"/>
        <w:outlineLvl w:val="1"/>
        <w:rPr>
          <w:rFonts w:hint="eastAsia" w:ascii="宋体" w:hAnsi="宋体"/>
          <w:b/>
          <w:sz w:val="28"/>
          <w:szCs w:val="28"/>
        </w:rPr>
      </w:pPr>
      <w:bookmarkStart w:id="45" w:name="_Toc432430967"/>
      <w:bookmarkStart w:id="46" w:name="_Toc282517087"/>
      <w:bookmarkStart w:id="47" w:name="_Toc383449583"/>
      <w:bookmarkStart w:id="48" w:name="_Toc496105219"/>
      <w:bookmarkStart w:id="49" w:name="_Toc384843026"/>
      <w:r>
        <w:rPr>
          <w:rFonts w:hint="eastAsia" w:ascii="宋体" w:hAnsi="宋体"/>
          <w:b/>
          <w:sz w:val="28"/>
          <w:szCs w:val="28"/>
        </w:rPr>
        <w:t>一、编制依据</w:t>
      </w:r>
      <w:bookmarkEnd w:id="45"/>
      <w:bookmarkEnd w:id="46"/>
      <w:bookmarkEnd w:id="47"/>
      <w:bookmarkEnd w:id="48"/>
      <w:bookmarkEnd w:id="49"/>
    </w:p>
    <w:p>
      <w:pPr>
        <w:spacing w:line="360" w:lineRule="auto"/>
        <w:ind w:firstLine="560" w:firstLineChars="200"/>
        <w:rPr>
          <w:rFonts w:hint="eastAsia" w:ascii="宋体" w:hAnsi="宋体"/>
          <w:sz w:val="28"/>
          <w:szCs w:val="28"/>
        </w:rPr>
      </w:pPr>
      <w:r>
        <w:rPr>
          <w:rFonts w:hint="eastAsia" w:ascii="宋体" w:hAnsi="宋体"/>
          <w:sz w:val="28"/>
          <w:szCs w:val="28"/>
        </w:rPr>
        <w:t>1、《</w:t>
      </w:r>
      <w:r>
        <w:rPr>
          <w:rFonts w:ascii="宋体" w:hAnsi="宋体"/>
          <w:sz w:val="28"/>
          <w:szCs w:val="28"/>
        </w:rPr>
        <w:t>中华人民共和国招标投标法</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2、中华人民共和国国家发展计划委员会、中华人民共和国建设部、中华人民共和国铁道部、中华人民共和国交通部、中华人民共和国信息产业部、中华人民共和国水利部、中国民用航空总局 第30号令《工程建设项目施工招标投标办法》；</w:t>
      </w:r>
    </w:p>
    <w:p>
      <w:pPr>
        <w:spacing w:line="360" w:lineRule="auto"/>
        <w:ind w:firstLine="560" w:firstLineChars="200"/>
        <w:rPr>
          <w:rFonts w:hint="eastAsia" w:ascii="宋体" w:hAnsi="宋体"/>
          <w:sz w:val="28"/>
          <w:szCs w:val="28"/>
        </w:rPr>
      </w:pPr>
      <w:r>
        <w:rPr>
          <w:rFonts w:hint="eastAsia" w:ascii="宋体" w:hAnsi="宋体"/>
          <w:sz w:val="28"/>
          <w:szCs w:val="28"/>
        </w:rPr>
        <w:t>3、国家发展计划委员会第</w:t>
      </w:r>
      <w:r>
        <w:rPr>
          <w:rFonts w:ascii="宋体" w:hAnsi="宋体"/>
          <w:sz w:val="28"/>
          <w:szCs w:val="28"/>
        </w:rPr>
        <w:t>3</w:t>
      </w:r>
      <w:r>
        <w:rPr>
          <w:rFonts w:hint="eastAsia" w:ascii="宋体" w:hAnsi="宋体"/>
          <w:sz w:val="28"/>
          <w:szCs w:val="28"/>
        </w:rPr>
        <w:t>号令《工程建设项目招标范围和规模标准规定》；</w:t>
      </w:r>
    </w:p>
    <w:p>
      <w:pPr>
        <w:spacing w:line="360" w:lineRule="auto"/>
        <w:ind w:firstLine="560" w:firstLineChars="200"/>
        <w:rPr>
          <w:rFonts w:hint="eastAsia" w:ascii="宋体" w:hAnsi="宋体"/>
          <w:sz w:val="28"/>
          <w:szCs w:val="28"/>
        </w:rPr>
      </w:pPr>
      <w:r>
        <w:rPr>
          <w:rFonts w:hint="eastAsia" w:ascii="宋体" w:hAnsi="宋体"/>
          <w:sz w:val="28"/>
          <w:szCs w:val="28"/>
        </w:rPr>
        <w:t>4、国家发展计划委员会第5号令《工程建设项目自行招标试行办法》；</w:t>
      </w:r>
    </w:p>
    <w:p>
      <w:pPr>
        <w:spacing w:line="360" w:lineRule="auto"/>
        <w:ind w:firstLine="560" w:firstLineChars="200"/>
        <w:rPr>
          <w:rFonts w:hint="eastAsia" w:ascii="宋体" w:hAnsi="宋体"/>
          <w:sz w:val="28"/>
          <w:szCs w:val="28"/>
        </w:rPr>
      </w:pPr>
      <w:r>
        <w:rPr>
          <w:rFonts w:hint="eastAsia" w:ascii="宋体" w:hAnsi="宋体"/>
          <w:sz w:val="28"/>
          <w:szCs w:val="28"/>
        </w:rPr>
        <w:t>5、国家发展计划委员会第9号令《建设项目可行性研究报告增加招标内容以及核准招标事项暂行规定》。</w:t>
      </w:r>
    </w:p>
    <w:p>
      <w:pPr>
        <w:spacing w:line="360" w:lineRule="auto"/>
        <w:ind w:firstLine="562" w:firstLineChars="200"/>
        <w:outlineLvl w:val="1"/>
        <w:rPr>
          <w:rFonts w:hint="eastAsia" w:ascii="宋体" w:hAnsi="宋体"/>
          <w:b/>
          <w:sz w:val="28"/>
          <w:szCs w:val="28"/>
        </w:rPr>
      </w:pPr>
      <w:bookmarkStart w:id="50" w:name="_Toc168134553"/>
      <w:bookmarkStart w:id="51" w:name="_Toc124973041"/>
      <w:bookmarkStart w:id="52" w:name="_Toc158712370"/>
      <w:bookmarkStart w:id="53" w:name="_Toc432430968"/>
      <w:bookmarkStart w:id="54" w:name="_Toc496105220"/>
      <w:bookmarkStart w:id="55" w:name="_Toc175713384"/>
      <w:bookmarkStart w:id="56" w:name="_Toc171064400"/>
      <w:bookmarkStart w:id="57" w:name="_Toc167691444"/>
      <w:bookmarkStart w:id="58" w:name="_Toc282517088"/>
      <w:bookmarkStart w:id="59" w:name="_Toc167864391"/>
      <w:bookmarkStart w:id="60" w:name="_Toc383449584"/>
      <w:bookmarkStart w:id="61" w:name="_Toc384843027"/>
      <w:bookmarkStart w:id="62" w:name="_Toc166340617"/>
      <w:bookmarkStart w:id="63" w:name="_Toc161031900"/>
      <w:r>
        <w:rPr>
          <w:rFonts w:hint="eastAsia" w:ascii="宋体" w:hAnsi="宋体"/>
          <w:b/>
          <w:sz w:val="28"/>
          <w:szCs w:val="28"/>
        </w:rPr>
        <w:t>二、招标范围及内容</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line="360" w:lineRule="auto"/>
        <w:ind w:firstLine="560" w:firstLineChars="200"/>
        <w:rPr>
          <w:rFonts w:hint="eastAsia" w:ascii="宋体" w:hAnsi="宋体"/>
          <w:sz w:val="28"/>
          <w:szCs w:val="28"/>
        </w:rPr>
      </w:pPr>
      <w:r>
        <w:rPr>
          <w:rFonts w:hint="eastAsia" w:ascii="宋体" w:hAnsi="宋体"/>
          <w:sz w:val="28"/>
          <w:szCs w:val="28"/>
        </w:rPr>
        <w:t>按照《台州市建设工程施工招标评标、定标办法》、《台州市工程建设项目建设监理招标评标定标办法》和《浙江省招标项目具体范围和规模标准的规定》(浙发改法规[2006]923号)的规定，以及天台县公共资源交易管理委员会办公室《关于调整工程招投标限额有关问题的方案》(天公管办[2019]4号)，达到下列标准之一的，必须委托天台县公共资源交易中心进行公开招投标：</w:t>
      </w:r>
    </w:p>
    <w:p>
      <w:pPr>
        <w:spacing w:line="360" w:lineRule="auto"/>
        <w:ind w:firstLine="560" w:firstLineChars="200"/>
        <w:rPr>
          <w:rFonts w:hint="eastAsia" w:ascii="宋体" w:hAnsi="宋体"/>
          <w:sz w:val="28"/>
          <w:szCs w:val="28"/>
        </w:rPr>
      </w:pPr>
      <w:r>
        <w:rPr>
          <w:rFonts w:hint="eastAsia" w:ascii="宋体" w:hAnsi="宋体"/>
          <w:sz w:val="28"/>
          <w:szCs w:val="28"/>
        </w:rPr>
        <w:t>1、施工单项工程合同估算价在400万元人民币及以上的；</w:t>
      </w:r>
    </w:p>
    <w:p>
      <w:pPr>
        <w:spacing w:line="360" w:lineRule="auto"/>
        <w:ind w:firstLine="560" w:firstLineChars="200"/>
        <w:rPr>
          <w:rFonts w:hint="eastAsia" w:ascii="宋体" w:hAnsi="宋体"/>
          <w:sz w:val="28"/>
          <w:szCs w:val="28"/>
        </w:rPr>
      </w:pPr>
      <w:r>
        <w:rPr>
          <w:rFonts w:hint="eastAsia" w:ascii="宋体" w:hAnsi="宋体"/>
          <w:sz w:val="28"/>
          <w:szCs w:val="28"/>
        </w:rPr>
        <w:t>2、勘察、设计、监理等服务的采购，单项合同估算价格在100万元人民币及以上的；</w:t>
      </w:r>
    </w:p>
    <w:p>
      <w:pPr>
        <w:spacing w:line="360" w:lineRule="auto"/>
        <w:ind w:firstLine="560" w:firstLineChars="200"/>
        <w:rPr>
          <w:rFonts w:hint="eastAsia" w:ascii="宋体" w:hAnsi="宋体"/>
          <w:sz w:val="28"/>
          <w:szCs w:val="28"/>
        </w:rPr>
      </w:pPr>
      <w:r>
        <w:rPr>
          <w:rFonts w:hint="eastAsia" w:ascii="宋体" w:hAnsi="宋体"/>
          <w:sz w:val="28"/>
          <w:szCs w:val="28"/>
        </w:rPr>
        <w:t>3、重要设备、材料等货物的采购，单项合同估算价格在200万元人民币及以上的。</w:t>
      </w:r>
    </w:p>
    <w:p>
      <w:pPr>
        <w:spacing w:line="360" w:lineRule="auto"/>
        <w:ind w:firstLine="562" w:firstLineChars="200"/>
        <w:outlineLvl w:val="1"/>
        <w:rPr>
          <w:rFonts w:hint="eastAsia" w:ascii="宋体" w:hAnsi="宋体"/>
          <w:b/>
          <w:sz w:val="28"/>
          <w:szCs w:val="28"/>
        </w:rPr>
      </w:pPr>
      <w:bookmarkStart w:id="64" w:name="_Toc383449585"/>
      <w:bookmarkStart w:id="65" w:name="_Toc384843028"/>
      <w:bookmarkStart w:id="66" w:name="_Toc282517089"/>
      <w:bookmarkStart w:id="67" w:name="_Toc432430969"/>
      <w:bookmarkStart w:id="68" w:name="_Toc496105221"/>
      <w:r>
        <w:rPr>
          <w:rFonts w:hint="eastAsia" w:ascii="宋体" w:hAnsi="宋体"/>
          <w:b/>
          <w:sz w:val="28"/>
          <w:szCs w:val="28"/>
        </w:rPr>
        <w:t>三、招标方式</w:t>
      </w:r>
      <w:bookmarkEnd w:id="64"/>
      <w:bookmarkEnd w:id="65"/>
      <w:bookmarkEnd w:id="66"/>
      <w:bookmarkEnd w:id="67"/>
      <w:bookmarkEnd w:id="68"/>
    </w:p>
    <w:p>
      <w:pPr>
        <w:spacing w:line="360" w:lineRule="auto"/>
        <w:ind w:firstLine="560" w:firstLineChars="200"/>
        <w:rPr>
          <w:rFonts w:hint="eastAsia" w:ascii="宋体" w:hAnsi="宋体"/>
          <w:sz w:val="28"/>
          <w:szCs w:val="28"/>
        </w:rPr>
      </w:pPr>
      <w:r>
        <w:rPr>
          <w:rFonts w:hint="eastAsia" w:ascii="宋体" w:hAnsi="宋体"/>
          <w:sz w:val="28"/>
          <w:szCs w:val="28"/>
        </w:rPr>
        <w:t>项目招标均采用公开招标。委托有相应资质的招标代理机构组织本项目的招投标工作。招标前，在天台县公共资源交易中心上发布招标公告，根据项目的特点选择合适的初选入围单位，在入围单位中确定中标单位。</w:t>
      </w:r>
    </w:p>
    <w:p>
      <w:pPr>
        <w:spacing w:line="360" w:lineRule="auto"/>
        <w:ind w:firstLine="562" w:firstLineChars="200"/>
        <w:outlineLvl w:val="1"/>
        <w:rPr>
          <w:rFonts w:hint="eastAsia" w:ascii="宋体" w:hAnsi="宋体"/>
          <w:b/>
          <w:sz w:val="28"/>
          <w:szCs w:val="28"/>
        </w:rPr>
      </w:pPr>
      <w:bookmarkStart w:id="69" w:name="_Toc282517090"/>
      <w:bookmarkStart w:id="70" w:name="_Toc383449586"/>
      <w:bookmarkStart w:id="71" w:name="_Toc432430970"/>
      <w:bookmarkStart w:id="72" w:name="_Toc384843029"/>
      <w:bookmarkStart w:id="73" w:name="_Toc496105222"/>
      <w:r>
        <w:rPr>
          <w:rFonts w:hint="eastAsia" w:ascii="宋体" w:hAnsi="宋体"/>
          <w:b/>
          <w:sz w:val="28"/>
          <w:szCs w:val="28"/>
        </w:rPr>
        <w:t>四、投标、开标、评标和中标程序</w:t>
      </w:r>
      <w:bookmarkEnd w:id="69"/>
      <w:bookmarkEnd w:id="70"/>
      <w:bookmarkEnd w:id="71"/>
      <w:bookmarkEnd w:id="72"/>
      <w:bookmarkEnd w:id="73"/>
    </w:p>
    <w:p>
      <w:pPr>
        <w:spacing w:line="360" w:lineRule="auto"/>
        <w:ind w:firstLine="560" w:firstLineChars="200"/>
        <w:rPr>
          <w:rFonts w:hint="eastAsia" w:ascii="宋体" w:hAnsi="宋体"/>
          <w:sz w:val="28"/>
          <w:szCs w:val="28"/>
        </w:rPr>
      </w:pPr>
      <w:r>
        <w:rPr>
          <w:rFonts w:hint="eastAsia" w:ascii="宋体" w:hAnsi="宋体"/>
          <w:sz w:val="28"/>
          <w:szCs w:val="28"/>
        </w:rPr>
        <w:t>本项目质量要求高，根据建设项目规模和建设要求，在招投标过程中必须遵守如下程序：</w:t>
      </w:r>
    </w:p>
    <w:p>
      <w:pPr>
        <w:spacing w:line="360" w:lineRule="auto"/>
        <w:ind w:firstLine="560" w:firstLineChars="200"/>
        <w:rPr>
          <w:rFonts w:hint="eastAsia" w:ascii="宋体" w:hAnsi="宋体"/>
          <w:sz w:val="28"/>
          <w:szCs w:val="28"/>
        </w:rPr>
      </w:pPr>
      <w:r>
        <w:rPr>
          <w:rFonts w:hint="eastAsia" w:ascii="宋体" w:hAnsi="宋体"/>
          <w:sz w:val="28"/>
          <w:szCs w:val="28"/>
        </w:rPr>
        <w:t>根据道路改建工程要求，在招投标过程中必须遵守如下程序：</w:t>
      </w:r>
    </w:p>
    <w:p>
      <w:pPr>
        <w:spacing w:line="360" w:lineRule="auto"/>
        <w:ind w:firstLine="560" w:firstLineChars="200"/>
        <w:rPr>
          <w:rFonts w:hint="eastAsia" w:ascii="宋体" w:hAnsi="宋体"/>
          <w:sz w:val="28"/>
          <w:szCs w:val="28"/>
        </w:rPr>
      </w:pPr>
      <w:r>
        <w:rPr>
          <w:rFonts w:hint="eastAsia" w:ascii="宋体" w:hAnsi="宋体"/>
          <w:sz w:val="28"/>
          <w:szCs w:val="28"/>
        </w:rPr>
        <w:t>1、公告。项目经上级部门批复同意后，项目承办单位在指定的媒体上发布招标公告。</w:t>
      </w:r>
    </w:p>
    <w:p>
      <w:pPr>
        <w:spacing w:line="360" w:lineRule="auto"/>
        <w:ind w:firstLine="560" w:firstLineChars="200"/>
        <w:rPr>
          <w:rFonts w:hint="eastAsia" w:ascii="宋体" w:hAnsi="宋体"/>
          <w:sz w:val="28"/>
          <w:szCs w:val="28"/>
        </w:rPr>
      </w:pPr>
      <w:r>
        <w:rPr>
          <w:rFonts w:hint="eastAsia" w:ascii="宋体" w:hAnsi="宋体"/>
          <w:sz w:val="28"/>
          <w:szCs w:val="28"/>
        </w:rPr>
        <w:t>2、投标。在招标文件开始发出之日起20日内，具有承担投标项目能力的法人或者其它组织都可以投标。投标人少于3个时，应当重新进行招标。投标文件应当对招标文件提出的实质性要求和条件作出相应修改。招标文件的内容应包括拟派出的项目负责人与主要技术人员的简历、业绩和拟用已完成招标项目的机械设备等。</w:t>
      </w:r>
    </w:p>
    <w:p>
      <w:pPr>
        <w:spacing w:line="360" w:lineRule="auto"/>
        <w:ind w:firstLine="560" w:firstLineChars="200"/>
        <w:rPr>
          <w:rFonts w:hint="eastAsia" w:ascii="宋体" w:hAnsi="宋体"/>
          <w:sz w:val="28"/>
          <w:szCs w:val="28"/>
        </w:rPr>
      </w:pPr>
      <w:r>
        <w:rPr>
          <w:rFonts w:hint="eastAsia" w:ascii="宋体" w:hAnsi="宋体"/>
          <w:sz w:val="28"/>
          <w:szCs w:val="28"/>
        </w:rPr>
        <w:t>3、开标。开标时由项目委托招标单位主持，邀请所有投标人参加，由招标人委托公证机构检查并公证。投标人的投标应当符合下列条件之一：能够最大限度地满足招标文件中规定的各项综合评价标准或者能满足招标文件的实质性要求，且经评审 的价格合理。</w:t>
      </w:r>
    </w:p>
    <w:p>
      <w:pPr>
        <w:spacing w:line="360" w:lineRule="auto"/>
        <w:ind w:firstLine="560" w:firstLineChars="200"/>
        <w:rPr>
          <w:rFonts w:hint="eastAsia" w:ascii="宋体" w:hAnsi="宋体"/>
          <w:sz w:val="28"/>
          <w:szCs w:val="28"/>
        </w:rPr>
      </w:pPr>
      <w:r>
        <w:rPr>
          <w:rFonts w:hint="eastAsia" w:ascii="宋体" w:hAnsi="宋体"/>
          <w:sz w:val="28"/>
          <w:szCs w:val="28"/>
        </w:rPr>
        <w:t>4、评标。评标按照《</w:t>
      </w:r>
      <w:r>
        <w:rPr>
          <w:rFonts w:ascii="宋体" w:hAnsi="宋体"/>
          <w:sz w:val="28"/>
          <w:szCs w:val="28"/>
        </w:rPr>
        <w:t>台州市建设工程施工招标投标办法</w:t>
      </w:r>
      <w:r>
        <w:rPr>
          <w:rFonts w:hint="eastAsia" w:ascii="宋体" w:hAnsi="宋体"/>
          <w:sz w:val="28"/>
          <w:szCs w:val="28"/>
        </w:rPr>
        <w:t>》台建规〔2008〕142号的规定和程序进行。</w:t>
      </w:r>
    </w:p>
    <w:p>
      <w:pPr>
        <w:spacing w:line="360" w:lineRule="auto"/>
        <w:ind w:firstLine="560" w:firstLineChars="200"/>
        <w:rPr>
          <w:rFonts w:hint="eastAsia" w:ascii="宋体" w:hAnsi="宋体"/>
          <w:sz w:val="28"/>
          <w:szCs w:val="28"/>
        </w:rPr>
      </w:pPr>
      <w:r>
        <w:rPr>
          <w:rFonts w:hint="eastAsia" w:ascii="宋体" w:hAnsi="宋体"/>
          <w:sz w:val="28"/>
          <w:szCs w:val="28"/>
        </w:rPr>
        <w:t>5、中标。中标人确定后，招标人向中标人发出中标通知书 ，该通知书具有法律效力，若中标人放弃中标项目，应当承担法律责任。自中标通知书发出30日内，按照招标文件，项目承担单位和中标人签订书面合同，同时，中标人不得向他人转让中标项目，不得将中标项目肢解后分别向他人转让。</w:t>
      </w:r>
    </w:p>
    <w:p>
      <w:pPr>
        <w:spacing w:line="360" w:lineRule="auto"/>
        <w:ind w:firstLine="562" w:firstLineChars="200"/>
        <w:outlineLvl w:val="1"/>
        <w:rPr>
          <w:rFonts w:hint="eastAsia" w:ascii="宋体" w:hAnsi="宋体"/>
          <w:b/>
          <w:sz w:val="28"/>
          <w:szCs w:val="28"/>
        </w:rPr>
      </w:pPr>
      <w:bookmarkStart w:id="74" w:name="_Toc496105223"/>
      <w:bookmarkStart w:id="75" w:name="_Toc383449587"/>
      <w:bookmarkStart w:id="76" w:name="_Toc384843030"/>
      <w:bookmarkStart w:id="77" w:name="_Toc282517091"/>
      <w:bookmarkStart w:id="78" w:name="_Toc432430971"/>
      <w:r>
        <w:rPr>
          <w:rFonts w:hint="eastAsia" w:ascii="宋体" w:hAnsi="宋体"/>
          <w:b/>
          <w:sz w:val="28"/>
          <w:szCs w:val="28"/>
        </w:rPr>
        <w:t>五、评标组织、评标原则及决标</w:t>
      </w:r>
      <w:bookmarkEnd w:id="74"/>
      <w:bookmarkEnd w:id="75"/>
      <w:bookmarkEnd w:id="76"/>
      <w:bookmarkEnd w:id="77"/>
      <w:bookmarkEnd w:id="78"/>
    </w:p>
    <w:p>
      <w:pPr>
        <w:spacing w:line="360" w:lineRule="auto"/>
        <w:ind w:firstLine="560" w:firstLineChars="200"/>
        <w:rPr>
          <w:rFonts w:hint="eastAsia" w:ascii="宋体" w:hAnsi="宋体"/>
          <w:sz w:val="28"/>
          <w:szCs w:val="28"/>
        </w:rPr>
      </w:pPr>
      <w:r>
        <w:rPr>
          <w:rFonts w:hint="eastAsia" w:ascii="宋体" w:hAnsi="宋体"/>
          <w:sz w:val="28"/>
          <w:szCs w:val="28"/>
        </w:rPr>
        <w:t>1、根据《台州市建设工程评标专家管理实施细则》（台建规[2005]77号）及国家、省市有关招投标法规、规定及项目的特点组成招标领导小组和评标、决标小组。</w:t>
      </w:r>
    </w:p>
    <w:p>
      <w:pPr>
        <w:spacing w:line="360" w:lineRule="auto"/>
        <w:ind w:firstLine="560" w:firstLineChars="200"/>
        <w:rPr>
          <w:rFonts w:hint="eastAsia" w:ascii="宋体" w:hAnsi="宋体"/>
          <w:sz w:val="28"/>
          <w:szCs w:val="28"/>
        </w:rPr>
      </w:pPr>
      <w:r>
        <w:rPr>
          <w:rFonts w:hint="eastAsia" w:ascii="宋体" w:hAnsi="宋体"/>
          <w:sz w:val="28"/>
          <w:szCs w:val="28"/>
        </w:rPr>
        <w:t>2、评标原则:报价合理；能够满足招标文件的实质性要求，工期及质量、安全有保证；技术力量和管理水平符合要求以及单位资信业绩良好。</w:t>
      </w:r>
    </w:p>
    <w:p>
      <w:pPr>
        <w:spacing w:line="360" w:lineRule="auto"/>
        <w:ind w:firstLine="560" w:firstLineChars="200"/>
        <w:rPr>
          <w:rFonts w:hint="eastAsia" w:ascii="宋体" w:hAnsi="宋体"/>
          <w:sz w:val="28"/>
          <w:szCs w:val="28"/>
        </w:rPr>
      </w:pPr>
      <w:r>
        <w:rPr>
          <w:rFonts w:hint="eastAsia" w:ascii="宋体" w:hAnsi="宋体"/>
          <w:sz w:val="28"/>
          <w:szCs w:val="28"/>
        </w:rPr>
        <w:t xml:space="preserve">3、决标：评标专家组根据招标文件中的评标办法进行评标，向招标小组推荐候选单位，并提供详细的评标报告。招标领导小组经综合考虑后择优选定中标单位，向中标单位发放中标通知书。 </w:t>
      </w:r>
    </w:p>
    <w:p>
      <w:pPr>
        <w:spacing w:line="360" w:lineRule="auto"/>
        <w:ind w:firstLine="562" w:firstLineChars="200"/>
        <w:outlineLvl w:val="1"/>
        <w:rPr>
          <w:rFonts w:hint="eastAsia" w:ascii="宋体" w:hAnsi="宋体"/>
          <w:b/>
          <w:sz w:val="28"/>
          <w:szCs w:val="28"/>
        </w:rPr>
      </w:pPr>
      <w:bookmarkStart w:id="79" w:name="_Toc282517092"/>
      <w:bookmarkStart w:id="80" w:name="_Toc384843031"/>
      <w:bookmarkStart w:id="81" w:name="_Toc496105224"/>
      <w:bookmarkStart w:id="82" w:name="_Toc383449588"/>
      <w:bookmarkStart w:id="83" w:name="_Toc432430972"/>
      <w:r>
        <w:rPr>
          <w:rFonts w:hint="eastAsia" w:ascii="宋体" w:hAnsi="宋体"/>
          <w:b/>
          <w:sz w:val="28"/>
          <w:szCs w:val="28"/>
        </w:rPr>
        <w:t>六、评标委员会的人员组成和资质要求</w:t>
      </w:r>
      <w:bookmarkEnd w:id="79"/>
      <w:bookmarkEnd w:id="80"/>
      <w:bookmarkEnd w:id="81"/>
      <w:bookmarkEnd w:id="82"/>
      <w:bookmarkEnd w:id="83"/>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项目全部采用公开招标的方式，因此 ，在招标过程中，为保证项目的公开 ，对评标委员会的组成和资质有如下要求：</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1、评标委会人员组成</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评标委员会由项目承办单位的代表和有关技术、经济等方面的专家组成。根据本方案在项目开标当天从当地有关部门专家库中随机抽取。评标委员会主任由资深的专家担任，评标委员会采用单数字，但最低不少于5人，并且技术、经济等方面的专家不得少于成员总数的三分之二；评标委员会应当按照招标文件确定的评标标准和方法，对投标文件进行评审和比较。投标采用打分制，以得分高者当选。</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2、评标委员会成员的资质要求</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评委会成员职称在工程师以上，对工程项目有较深入的研究，并且职业道德良好，与投标单位无任何利害关系。评标委员会成员应当客观公正的履行职务，遵守职业道德，对投标提出的评审意见承担个人责任。</w:t>
      </w: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ind w:firstLine="560" w:firstLineChars="200"/>
        <w:rPr>
          <w:rFonts w:hint="eastAsia" w:ascii="宋体" w:hAnsi="宋体"/>
          <w:sz w:val="28"/>
          <w:szCs w:val="28"/>
        </w:rPr>
      </w:pPr>
    </w:p>
    <w:p>
      <w:pPr>
        <w:spacing w:line="360" w:lineRule="auto"/>
        <w:jc w:val="center"/>
        <w:outlineLvl w:val="0"/>
        <w:rPr>
          <w:rFonts w:hint="eastAsia" w:ascii="宋体" w:hAnsi="宋体"/>
          <w:b/>
          <w:sz w:val="52"/>
          <w:szCs w:val="52"/>
        </w:rPr>
      </w:pPr>
      <w:r>
        <w:rPr>
          <w:rFonts w:ascii="宋体" w:hAnsi="宋体"/>
          <w:b/>
          <w:sz w:val="30"/>
          <w:szCs w:val="30"/>
        </w:rPr>
        <w:br w:type="page"/>
      </w:r>
      <w:bookmarkStart w:id="84" w:name="_Toc496105225"/>
      <w:r>
        <w:rPr>
          <w:rFonts w:hint="eastAsia" w:ascii="宋体" w:hAnsi="宋体"/>
          <w:b/>
          <w:sz w:val="52"/>
          <w:szCs w:val="52"/>
        </w:rPr>
        <w:t>第十三节   社会评价</w:t>
      </w:r>
      <w:bookmarkEnd w:id="84"/>
    </w:p>
    <w:p>
      <w:pPr>
        <w:spacing w:line="360" w:lineRule="auto"/>
        <w:ind w:firstLine="562" w:firstLineChars="200"/>
        <w:outlineLvl w:val="1"/>
        <w:rPr>
          <w:rFonts w:hint="eastAsia" w:ascii="宋体" w:hAnsi="宋体"/>
          <w:b/>
          <w:sz w:val="28"/>
          <w:szCs w:val="28"/>
        </w:rPr>
      </w:pPr>
      <w:bookmarkStart w:id="85" w:name="_Toc496105226"/>
      <w:r>
        <w:rPr>
          <w:rFonts w:hint="eastAsia" w:ascii="宋体" w:hAnsi="宋体"/>
          <w:b/>
          <w:sz w:val="28"/>
          <w:szCs w:val="28"/>
        </w:rPr>
        <w:t>一、社会效益分析</w:t>
      </w:r>
      <w:bookmarkEnd w:id="85"/>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本项目的建设，有利于提高人口素质、构建和谐社会、促进社会公平、全面建设小康社会随着经济的发展和社会的繁荣，人民群众对优质教育的要求越来越高，教育的全面性、基础性和先导性的作用越来越大。赤城街道栖霞小学通过本次项目的建设，可从根本上解决学校当前存在的问题，可以接收来自天台县赤城街道和外来务工人员子女的适龄儿童入学，为他们提供一个良好的接受义务教育条件，利于教育实施，利于提高人口素质，实现教育公平，促进社会安定团结。</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提高中小学学校基础设施水平，推动教育事业的发展。天台县学校目前超负荷运营，不利于学生的教育。这制约了学生教育的发展，不利于学生的正常教育，更无法满足现代化教育教学的要求。本次项目的建设，将促进改变这种局面。只有加强中小学学校教育基础能力建设，不断改善办学条件，改善学习环境，才能让学生从小就受到优质的教育，在“绿色小学”的氛围中健康成长。项目建设后的赤城街道栖霞小学将是一个布局合理、建筑协调、功能齐全、环境优美的现代化学校。本项目建设，有利于学校健康可持续地发展，同时也是推动天台县教育事业进步的因素之一。因此本项目的建设能取得良好的社会效益。</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同时项目是一项为民、惠民、利民的工程，建成后将标志着天台县教育基础设施提高到了一个新的水平，为教育事业的发展、繁荣将带来深远的影响：</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一是为学校师生提供运动竞赛和体育健身服务场地，同时可以承全民运动会和满足人们的体育欣赏和宣传体育文化的需求。</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二是积极开展体育健身服务，增设体育健身活动设施，以满足学校师生运动健身不同层次的需求，提高学校师生的健康生活水平。</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三是开展运动训练，为学校培养高水平的竞技运动及体育后备队伍，为进行业余、专项训练提供服务。</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综上所述，赤城街道栖霞小学迁建工程的建成将充分发挥体育多元化功能，它不仅在体育教育中发挥巨大的作用，同时也为天台县的体育事业以及经济的发展有着极其重要的意义，它所产生的社会效益是不可估量的。</w:t>
      </w:r>
    </w:p>
    <w:p>
      <w:pPr>
        <w:spacing w:line="360" w:lineRule="auto"/>
        <w:ind w:firstLine="562" w:firstLineChars="200"/>
        <w:outlineLvl w:val="1"/>
        <w:rPr>
          <w:rFonts w:hint="eastAsia" w:ascii="宋体" w:hAnsi="宋体"/>
          <w:b/>
          <w:sz w:val="28"/>
          <w:szCs w:val="28"/>
        </w:rPr>
      </w:pPr>
      <w:bookmarkStart w:id="86" w:name="_Toc496105227"/>
      <w:r>
        <w:rPr>
          <w:rFonts w:hint="eastAsia" w:ascii="宋体" w:hAnsi="宋体"/>
          <w:b/>
          <w:sz w:val="28"/>
          <w:szCs w:val="28"/>
        </w:rPr>
        <w:t>二、社会互适性分析</w:t>
      </w:r>
      <w:bookmarkEnd w:id="86"/>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互适性分析主要是分析预测项目能否为当地的社会环境、人文条件所接纳，以及当地政府、居民支持项目存在与发展的程度，考察项目与当地社会环境的相互适应关系。</w:t>
      </w:r>
    </w:p>
    <w:p>
      <w:pPr>
        <w:spacing w:line="360" w:lineRule="auto"/>
        <w:ind w:firstLine="562" w:firstLineChars="200"/>
        <w:outlineLvl w:val="1"/>
        <w:rPr>
          <w:rFonts w:hint="eastAsia" w:ascii="宋体" w:hAnsi="宋体"/>
          <w:b/>
          <w:sz w:val="28"/>
          <w:szCs w:val="28"/>
        </w:rPr>
      </w:pPr>
      <w:bookmarkStart w:id="87" w:name="_Toc496105228"/>
      <w:r>
        <w:rPr>
          <w:rFonts w:hint="eastAsia" w:ascii="宋体" w:hAnsi="宋体"/>
          <w:b/>
          <w:sz w:val="28"/>
          <w:szCs w:val="28"/>
        </w:rPr>
        <w:t>三、不同利益群体与项目</w:t>
      </w:r>
      <w:bookmarkEnd w:id="87"/>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根据社会影响分析，学校周边居民是本项目的不同利益群体，他们对项目的态度与支持程度直接影响项目的实施进程。学校建设造福于社会，福祉于子孙后代，周边居民持积极支持态度。本项目实质为公益性项目。项目的实施会得到区域内各类组织及当地人民的积极支持和参与。</w:t>
      </w:r>
    </w:p>
    <w:p>
      <w:pPr>
        <w:spacing w:line="360" w:lineRule="auto"/>
        <w:ind w:firstLine="562" w:firstLineChars="200"/>
        <w:outlineLvl w:val="1"/>
        <w:rPr>
          <w:rFonts w:hint="eastAsia" w:ascii="宋体" w:hAnsi="宋体"/>
          <w:b/>
          <w:sz w:val="28"/>
          <w:szCs w:val="28"/>
        </w:rPr>
      </w:pPr>
      <w:bookmarkStart w:id="88" w:name="_Toc496105229"/>
      <w:r>
        <w:rPr>
          <w:rFonts w:hint="eastAsia" w:ascii="宋体" w:hAnsi="宋体"/>
          <w:b/>
          <w:sz w:val="28"/>
          <w:szCs w:val="28"/>
        </w:rPr>
        <w:t>四、社会评价结论</w:t>
      </w:r>
      <w:bookmarkEnd w:id="88"/>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通过项目的社会效益分析以及互适性分析，项目具备社会可行性：本项目对社会各方面的影响是积极的，社会效益显著。项目实施与当地社会环境的适应性好。</w:t>
      </w:r>
    </w:p>
    <w:p>
      <w:pPr>
        <w:spacing w:line="360" w:lineRule="auto"/>
        <w:jc w:val="center"/>
        <w:outlineLvl w:val="0"/>
        <w:rPr>
          <w:rFonts w:hint="eastAsia" w:ascii="宋体" w:hAnsi="宋体"/>
          <w:b/>
          <w:sz w:val="52"/>
          <w:szCs w:val="52"/>
        </w:rPr>
      </w:pPr>
      <w:r>
        <w:rPr>
          <w:rFonts w:ascii="宋体" w:hAnsi="宋体"/>
          <w:b/>
          <w:sz w:val="30"/>
          <w:szCs w:val="30"/>
        </w:rPr>
        <w:br w:type="page"/>
      </w:r>
      <w:bookmarkStart w:id="89" w:name="_Toc496105230"/>
      <w:r>
        <w:rPr>
          <w:rFonts w:hint="eastAsia" w:ascii="宋体" w:hAnsi="宋体"/>
          <w:b/>
          <w:sz w:val="52"/>
          <w:szCs w:val="52"/>
        </w:rPr>
        <w:t>第十四节   结论与建议</w:t>
      </w:r>
      <w:bookmarkEnd w:id="89"/>
    </w:p>
    <w:p>
      <w:pPr>
        <w:spacing w:line="360" w:lineRule="auto"/>
        <w:ind w:firstLine="562" w:firstLineChars="200"/>
        <w:outlineLvl w:val="1"/>
        <w:rPr>
          <w:rFonts w:hint="eastAsia" w:ascii="宋体" w:hAnsi="宋体"/>
          <w:b/>
          <w:sz w:val="28"/>
          <w:szCs w:val="28"/>
        </w:rPr>
      </w:pPr>
      <w:bookmarkStart w:id="90" w:name="_Toc496105231"/>
      <w:r>
        <w:rPr>
          <w:rFonts w:hint="eastAsia" w:ascii="宋体" w:hAnsi="宋体"/>
          <w:b/>
          <w:sz w:val="28"/>
          <w:szCs w:val="28"/>
        </w:rPr>
        <w:t>一、结论</w:t>
      </w:r>
      <w:bookmarkEnd w:id="90"/>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本项目是建设公共设施的公益性项目，体现的是社会公共效益。提高小学学校基础设施水平，推动教育事业的发展。利于提高人口素质，实现教育公平，促进社会安定团结。有利于小学学校健康可持续地发展，同时也是推动天台县教育事业进步的因素之一。</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虽然项目没有相应的直接产出，财务费用和效益不能相抵。但作为社会公益服务项目，应着重国民经济的分析，从全社会的角度去定性分析评价项目的效益。</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经前述分析，</w:t>
      </w:r>
      <w:r>
        <w:rPr>
          <w:rFonts w:ascii="宋体" w:hAnsi="宋体"/>
          <w:sz w:val="28"/>
          <w:szCs w:val="28"/>
        </w:rPr>
        <w:t>本项目的社会互适性好，社会效益明显。</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通过对本项目的社会效益分析、社会互适性分析，我们认为本项目建设是必要的。项目具有显著的社会效益。项目建成对所在区域的正面影响大。而且项目建设已制定了较为详细的方案。因此，项目建设是可行的。</w:t>
      </w:r>
    </w:p>
    <w:p>
      <w:pPr>
        <w:spacing w:line="360" w:lineRule="auto"/>
        <w:ind w:firstLine="560" w:firstLineChars="200"/>
        <w:outlineLvl w:val="1"/>
        <w:rPr>
          <w:rFonts w:hint="eastAsia" w:ascii="宋体" w:hAnsi="宋体"/>
          <w:sz w:val="28"/>
          <w:szCs w:val="28"/>
        </w:rPr>
      </w:pPr>
      <w:bookmarkStart w:id="91" w:name="_Toc496105232"/>
      <w:r>
        <w:rPr>
          <w:rFonts w:hint="eastAsia" w:ascii="宋体" w:hAnsi="宋体"/>
          <w:sz w:val="28"/>
          <w:szCs w:val="28"/>
        </w:rPr>
        <w:t>二、</w:t>
      </w:r>
      <w:r>
        <w:rPr>
          <w:rFonts w:hint="eastAsia" w:ascii="宋体" w:hAnsi="宋体"/>
          <w:b/>
          <w:sz w:val="28"/>
          <w:szCs w:val="28"/>
        </w:rPr>
        <w:t>建议</w:t>
      </w:r>
      <w:bookmarkEnd w:id="91"/>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为了确保该项目的顺利实施，建设单位应配备各专业、各方面的人员，组织强有力的项目管理班子。可按工作阶段细分为各个专业小组。制定科学的工程进展计划表，协调落实各项工作，才能确保项目保质量、保安全、保进度完成。为此，建议如下：</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一是组织到位。建设单位应从单位层面上明确该工程的主管责任领导，从有关部门抽调精干人员组成项目管理班子，强化责任管理，具体负责项目的实施，以保证该项目如期、顺利施工。</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二是制度到位。在项目实施过程中应严格执行项目法人制、监理制、招标投标制、合同制，提高项目实施的质量和效益。</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三是资金到位。按照工程进度情况如期拨付工程有关资金，并建立项目的财务管理制度，由专人负责，确保项目资金合理使用和工程进度，提高项目实施的财务透明度。</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四是检查督促到位。定期或不定期地组织审计、发改局、财政、建设规划等有关部门对项目的资金使用情况、质量情况、进度情况进行检查，同时接受社会的监督。</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此外，在项目建设正式开展之前，建设单位应委托有资质单位做好项目的环评、水保评价工作。通过科学手段，深入了解分析工程对自然环境的影响，提出有效的预防治理措施，从而可实现各方面效益的最大化。</w:t>
      </w:r>
    </w:p>
    <w:p>
      <w:pPr>
        <w:adjustRightInd w:val="0"/>
        <w:snapToGrid w:val="0"/>
        <w:spacing w:line="360" w:lineRule="auto"/>
        <w:ind w:firstLine="560" w:firstLineChars="200"/>
        <w:rPr>
          <w:rFonts w:hint="eastAsia" w:ascii="宋体" w:hAnsi="宋体"/>
          <w:sz w:val="28"/>
          <w:szCs w:val="28"/>
        </w:rPr>
      </w:pPr>
    </w:p>
    <w:p>
      <w:pPr>
        <w:spacing w:line="360" w:lineRule="auto"/>
        <w:ind w:right="560" w:firstLine="560" w:firstLineChars="200"/>
        <w:jc w:val="center"/>
        <w:rPr>
          <w:rFonts w:hint="eastAsia" w:ascii="宋体" w:hAnsi="宋体"/>
          <w:sz w:val="28"/>
          <w:szCs w:val="28"/>
        </w:rPr>
      </w:pPr>
      <w:r>
        <w:rPr>
          <w:rFonts w:hint="eastAsia" w:ascii="宋体" w:hAnsi="宋体"/>
          <w:sz w:val="28"/>
          <w:szCs w:val="28"/>
        </w:rPr>
        <w:t xml:space="preserve">                                          2022年1月</w:t>
      </w:r>
    </w:p>
    <w:sectPr>
      <w:headerReference r:id="rId3" w:type="default"/>
      <w:footerReference r:id="rId4" w:type="default"/>
      <w:footerReference r:id="rId5" w:type="even"/>
      <w:pgSz w:w="11907" w:h="16840"/>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宋体" w:hAnsi="宋体"/>
        <w:sz w:val="21"/>
        <w:szCs w:val="21"/>
      </w:rPr>
      <w:t xml:space="preserve">杭州广厦建筑咨询有限公司                </w:t>
    </w:r>
    <w:r>
      <w:rPr>
        <w:rFonts w:hint="eastAsia"/>
        <w:sz w:val="21"/>
        <w:szCs w:val="21"/>
      </w:rPr>
      <w:t>第</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r>
      <w:rPr>
        <w:rFonts w:hint="eastAsia"/>
        <w:sz w:val="21"/>
        <w:szCs w:val="21"/>
      </w:rPr>
      <w:t xml:space="preserve">页共39页             </w:t>
    </w:r>
    <w:r>
      <w:rPr>
        <w:rFonts w:hint="eastAsia" w:ascii="宋体" w:hAnsi="宋体"/>
        <w:sz w:val="21"/>
        <w:szCs w:val="21"/>
      </w:rPr>
      <w:t>联系电话：0576-83701977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adjustRightInd w:val="0"/>
      <w:spacing w:line="240" w:lineRule="atLeast"/>
      <w:jc w:val="left"/>
      <w:rPr>
        <w:rFonts w:hint="eastAsia" w:ascii="宋体" w:hAnsi="宋体"/>
        <w:szCs w:val="21"/>
      </w:rPr>
    </w:pPr>
    <w:r>
      <w:rPr>
        <w:rFonts w:hint="eastAsia" w:ascii="宋体" w:hAnsi="宋体"/>
        <w:szCs w:val="21"/>
      </w:rPr>
      <w:t>赤城街道栖霞小学迁建工程                                                         项目建议书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EnclosedCircle"/>
      <w:lvlText w:val="%1"/>
      <w:lvlJc w:val="left"/>
      <w:pPr>
        <w:tabs>
          <w:tab w:val="left" w:pos="1365"/>
        </w:tabs>
        <w:ind w:left="1365" w:hanging="360"/>
      </w:pPr>
      <w:rPr>
        <w:rFonts w:hint="default"/>
      </w:rPr>
    </w:lvl>
    <w:lvl w:ilvl="1" w:tentative="0">
      <w:start w:val="1"/>
      <w:numFmt w:val="decimal"/>
      <w:lvlText w:val="%2、"/>
      <w:lvlJc w:val="left"/>
      <w:pPr>
        <w:tabs>
          <w:tab w:val="left" w:pos="1440"/>
        </w:tabs>
        <w:ind w:left="1440" w:hanging="720"/>
      </w:pPr>
      <w:rPr>
        <w:rFonts w:hint="default"/>
      </w:rPr>
    </w:lvl>
    <w:lvl w:ilvl="2" w:tentative="0">
      <w:start w:val="1"/>
      <w:numFmt w:val="lowerRoman"/>
      <w:lvlText w:val="%3."/>
      <w:lvlJc w:val="right"/>
      <w:pPr>
        <w:tabs>
          <w:tab w:val="left" w:pos="2265"/>
        </w:tabs>
        <w:ind w:left="2265" w:hanging="420"/>
      </w:pPr>
    </w:lvl>
    <w:lvl w:ilvl="3" w:tentative="0">
      <w:start w:val="1"/>
      <w:numFmt w:val="decimal"/>
      <w:lvlText w:val="%4."/>
      <w:lvlJc w:val="left"/>
      <w:pPr>
        <w:tabs>
          <w:tab w:val="left" w:pos="2685"/>
        </w:tabs>
        <w:ind w:left="2685" w:hanging="420"/>
      </w:pPr>
    </w:lvl>
    <w:lvl w:ilvl="4" w:tentative="0">
      <w:start w:val="1"/>
      <w:numFmt w:val="lowerLetter"/>
      <w:lvlText w:val="%5)"/>
      <w:lvlJc w:val="left"/>
      <w:pPr>
        <w:tabs>
          <w:tab w:val="left" w:pos="3105"/>
        </w:tabs>
        <w:ind w:left="3105" w:hanging="420"/>
      </w:pPr>
    </w:lvl>
    <w:lvl w:ilvl="5" w:tentative="0">
      <w:start w:val="1"/>
      <w:numFmt w:val="lowerRoman"/>
      <w:lvlText w:val="%6."/>
      <w:lvlJc w:val="right"/>
      <w:pPr>
        <w:tabs>
          <w:tab w:val="left" w:pos="3525"/>
        </w:tabs>
        <w:ind w:left="3525" w:hanging="420"/>
      </w:pPr>
    </w:lvl>
    <w:lvl w:ilvl="6" w:tentative="0">
      <w:start w:val="1"/>
      <w:numFmt w:val="decimal"/>
      <w:lvlText w:val="%7."/>
      <w:lvlJc w:val="left"/>
      <w:pPr>
        <w:tabs>
          <w:tab w:val="left" w:pos="3945"/>
        </w:tabs>
        <w:ind w:left="3945" w:hanging="420"/>
      </w:pPr>
    </w:lvl>
    <w:lvl w:ilvl="7" w:tentative="0">
      <w:start w:val="1"/>
      <w:numFmt w:val="lowerLetter"/>
      <w:lvlText w:val="%8)"/>
      <w:lvlJc w:val="left"/>
      <w:pPr>
        <w:tabs>
          <w:tab w:val="left" w:pos="4365"/>
        </w:tabs>
        <w:ind w:left="4365" w:hanging="420"/>
      </w:pPr>
    </w:lvl>
    <w:lvl w:ilvl="8" w:tentative="0">
      <w:start w:val="1"/>
      <w:numFmt w:val="lowerRoman"/>
      <w:lvlText w:val="%9."/>
      <w:lvlJc w:val="right"/>
      <w:pPr>
        <w:tabs>
          <w:tab w:val="left" w:pos="4785"/>
        </w:tabs>
        <w:ind w:left="4785" w:hanging="420"/>
      </w:pPr>
    </w:lvl>
  </w:abstractNum>
  <w:abstractNum w:abstractNumId="1">
    <w:nsid w:val="00000025"/>
    <w:multiLevelType w:val="multilevel"/>
    <w:tmpl w:val="00000025"/>
    <w:lvl w:ilvl="0" w:tentative="0">
      <w:start w:val="1"/>
      <w:numFmt w:val="decimal"/>
      <w:pStyle w:val="34"/>
      <w:lvlText w:val="%1、"/>
      <w:lvlJc w:val="left"/>
      <w:pPr>
        <w:tabs>
          <w:tab w:val="left" w:pos="480"/>
        </w:tabs>
        <w:ind w:left="480" w:hanging="360"/>
      </w:pPr>
      <w:rPr>
        <w:rFonts w:ascii="Times New Roman" w:hAnsi="Times New Roman" w:eastAsia="宋体" w:cs="Times New Roman"/>
      </w:rPr>
    </w:lvl>
    <w:lvl w:ilvl="1" w:tentative="0">
      <w:start w:val="2"/>
      <w:numFmt w:val="japaneseCounting"/>
      <w:lvlText w:val="%2、"/>
      <w:lvlJc w:val="left"/>
      <w:pPr>
        <w:tabs>
          <w:tab w:val="left" w:pos="1260"/>
        </w:tabs>
        <w:ind w:left="1260" w:hanging="720"/>
      </w:pPr>
      <w:rPr>
        <w:rFonts w:hint="default"/>
        <w:lang w:val="en-US"/>
      </w:rPr>
    </w:lvl>
    <w:lvl w:ilvl="2" w:tentative="0">
      <w:start w:val="2"/>
      <w:numFmt w:val="lowerLetter"/>
      <w:lvlText w:val="%3."/>
      <w:lvlJc w:val="left"/>
      <w:pPr>
        <w:tabs>
          <w:tab w:val="left" w:pos="1980"/>
        </w:tabs>
        <w:ind w:left="1980" w:hanging="360"/>
      </w:pPr>
      <w:rPr>
        <w:rFonts w:hint="default"/>
      </w:rPr>
    </w:lvl>
    <w:lvl w:ilvl="3" w:tentative="0">
      <w:start w:val="1"/>
      <w:numFmt w:val="decimal"/>
      <w:lvlText w:val="%4."/>
      <w:lvlJc w:val="left"/>
      <w:pPr>
        <w:tabs>
          <w:tab w:val="left" w:pos="1800"/>
        </w:tabs>
        <w:ind w:left="1800" w:hanging="420"/>
      </w:pPr>
    </w:lvl>
    <w:lvl w:ilvl="4" w:tentative="0">
      <w:start w:val="4"/>
      <w:numFmt w:val="japaneseCounting"/>
      <w:lvlText w:val="第%5节"/>
      <w:lvlJc w:val="left"/>
      <w:pPr>
        <w:tabs>
          <w:tab w:val="left" w:pos="2880"/>
        </w:tabs>
        <w:ind w:left="2880" w:hanging="1080"/>
      </w:pPr>
      <w:rPr>
        <w:rFonts w:hint="default"/>
      </w:rPr>
    </w:lvl>
    <w:lvl w:ilvl="5" w:tentative="0">
      <w:start w:val="5"/>
      <w:numFmt w:val="japaneseCounting"/>
      <w:lvlText w:val="第%6节"/>
      <w:lvlJc w:val="left"/>
      <w:pPr>
        <w:tabs>
          <w:tab w:val="left" w:pos="3780"/>
        </w:tabs>
        <w:ind w:left="3780" w:hanging="1080"/>
      </w:pPr>
      <w:rPr>
        <w:rFonts w:hint="default"/>
      </w:r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2">
    <w:nsid w:val="097F73D0"/>
    <w:multiLevelType w:val="multilevel"/>
    <w:tmpl w:val="097F73D0"/>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16EC121D"/>
    <w:multiLevelType w:val="multilevel"/>
    <w:tmpl w:val="16EC121D"/>
    <w:lvl w:ilvl="0" w:tentative="0">
      <w:start w:val="2"/>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42CF3690"/>
    <w:multiLevelType w:val="multilevel"/>
    <w:tmpl w:val="42CF3690"/>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MDJlZjQ0ODExNWQ3MGE3OWMwZGY2ZDg5ZmJhMzcifQ=="/>
  </w:docVars>
  <w:rsids>
    <w:rsidRoot w:val="00172A27"/>
    <w:rsid w:val="00005FE8"/>
    <w:rsid w:val="0000659A"/>
    <w:rsid w:val="00010629"/>
    <w:rsid w:val="0001239C"/>
    <w:rsid w:val="00012EB7"/>
    <w:rsid w:val="00013233"/>
    <w:rsid w:val="00021565"/>
    <w:rsid w:val="0002385B"/>
    <w:rsid w:val="0002413C"/>
    <w:rsid w:val="00025694"/>
    <w:rsid w:val="00032C09"/>
    <w:rsid w:val="00037141"/>
    <w:rsid w:val="000430BC"/>
    <w:rsid w:val="00043E48"/>
    <w:rsid w:val="0004501A"/>
    <w:rsid w:val="000468C5"/>
    <w:rsid w:val="00047B1A"/>
    <w:rsid w:val="000509FE"/>
    <w:rsid w:val="0005207D"/>
    <w:rsid w:val="000531A8"/>
    <w:rsid w:val="000606CE"/>
    <w:rsid w:val="00065050"/>
    <w:rsid w:val="00072494"/>
    <w:rsid w:val="0007370D"/>
    <w:rsid w:val="00073F06"/>
    <w:rsid w:val="00081075"/>
    <w:rsid w:val="00091F24"/>
    <w:rsid w:val="00096B11"/>
    <w:rsid w:val="00097CBE"/>
    <w:rsid w:val="000A03D8"/>
    <w:rsid w:val="000A37AD"/>
    <w:rsid w:val="000A5516"/>
    <w:rsid w:val="000A56A6"/>
    <w:rsid w:val="000A5FC2"/>
    <w:rsid w:val="000A6D8A"/>
    <w:rsid w:val="000B33A2"/>
    <w:rsid w:val="000B7BDA"/>
    <w:rsid w:val="000C0804"/>
    <w:rsid w:val="000C118B"/>
    <w:rsid w:val="000C1A79"/>
    <w:rsid w:val="000C555C"/>
    <w:rsid w:val="000E7A31"/>
    <w:rsid w:val="000F4713"/>
    <w:rsid w:val="00100713"/>
    <w:rsid w:val="001013A1"/>
    <w:rsid w:val="00104FF4"/>
    <w:rsid w:val="001141E5"/>
    <w:rsid w:val="001157EE"/>
    <w:rsid w:val="001238A9"/>
    <w:rsid w:val="001253FA"/>
    <w:rsid w:val="00127941"/>
    <w:rsid w:val="001425C7"/>
    <w:rsid w:val="00151FA6"/>
    <w:rsid w:val="00157E93"/>
    <w:rsid w:val="00163EF7"/>
    <w:rsid w:val="00170DBC"/>
    <w:rsid w:val="00175C46"/>
    <w:rsid w:val="00185BDD"/>
    <w:rsid w:val="00193942"/>
    <w:rsid w:val="001A0EC7"/>
    <w:rsid w:val="001A7D16"/>
    <w:rsid w:val="001B1D95"/>
    <w:rsid w:val="001B3A03"/>
    <w:rsid w:val="001B468E"/>
    <w:rsid w:val="001C2F16"/>
    <w:rsid w:val="001D1B83"/>
    <w:rsid w:val="001D50EC"/>
    <w:rsid w:val="001D5EAC"/>
    <w:rsid w:val="001D68B2"/>
    <w:rsid w:val="001E00DB"/>
    <w:rsid w:val="001E314D"/>
    <w:rsid w:val="001E6BB5"/>
    <w:rsid w:val="001E728F"/>
    <w:rsid w:val="001F05AE"/>
    <w:rsid w:val="001F0F32"/>
    <w:rsid w:val="001F3BFF"/>
    <w:rsid w:val="001F5CE9"/>
    <w:rsid w:val="0020664B"/>
    <w:rsid w:val="0020670E"/>
    <w:rsid w:val="0021418A"/>
    <w:rsid w:val="00225F81"/>
    <w:rsid w:val="00230145"/>
    <w:rsid w:val="00234359"/>
    <w:rsid w:val="00237CD7"/>
    <w:rsid w:val="00244F18"/>
    <w:rsid w:val="002467B2"/>
    <w:rsid w:val="00250699"/>
    <w:rsid w:val="002526CB"/>
    <w:rsid w:val="00254DE1"/>
    <w:rsid w:val="002653B0"/>
    <w:rsid w:val="00265804"/>
    <w:rsid w:val="0027189F"/>
    <w:rsid w:val="00272484"/>
    <w:rsid w:val="002910D6"/>
    <w:rsid w:val="00294EA2"/>
    <w:rsid w:val="002B4008"/>
    <w:rsid w:val="002B7851"/>
    <w:rsid w:val="002C2754"/>
    <w:rsid w:val="002C727B"/>
    <w:rsid w:val="002D4615"/>
    <w:rsid w:val="002D4798"/>
    <w:rsid w:val="002E643A"/>
    <w:rsid w:val="002F034C"/>
    <w:rsid w:val="00301ACD"/>
    <w:rsid w:val="003038B7"/>
    <w:rsid w:val="00303D37"/>
    <w:rsid w:val="00305285"/>
    <w:rsid w:val="00321C00"/>
    <w:rsid w:val="00334F08"/>
    <w:rsid w:val="00336FBB"/>
    <w:rsid w:val="0034369D"/>
    <w:rsid w:val="00345B94"/>
    <w:rsid w:val="003515C3"/>
    <w:rsid w:val="00360ED4"/>
    <w:rsid w:val="00360F03"/>
    <w:rsid w:val="003620C2"/>
    <w:rsid w:val="003669CF"/>
    <w:rsid w:val="00387E42"/>
    <w:rsid w:val="00392858"/>
    <w:rsid w:val="00397DDD"/>
    <w:rsid w:val="003A7EA6"/>
    <w:rsid w:val="003C0847"/>
    <w:rsid w:val="003C39F3"/>
    <w:rsid w:val="003D1212"/>
    <w:rsid w:val="003D20EC"/>
    <w:rsid w:val="003D2743"/>
    <w:rsid w:val="003D3DCC"/>
    <w:rsid w:val="003D547B"/>
    <w:rsid w:val="003E6385"/>
    <w:rsid w:val="003F7CFC"/>
    <w:rsid w:val="004158D5"/>
    <w:rsid w:val="00416144"/>
    <w:rsid w:val="00416DA7"/>
    <w:rsid w:val="00417B80"/>
    <w:rsid w:val="00417F88"/>
    <w:rsid w:val="0043454D"/>
    <w:rsid w:val="00437F4B"/>
    <w:rsid w:val="00442033"/>
    <w:rsid w:val="004442DB"/>
    <w:rsid w:val="00452F9C"/>
    <w:rsid w:val="00454CEA"/>
    <w:rsid w:val="00456380"/>
    <w:rsid w:val="004632F2"/>
    <w:rsid w:val="00472717"/>
    <w:rsid w:val="00476F2F"/>
    <w:rsid w:val="00482858"/>
    <w:rsid w:val="004847F9"/>
    <w:rsid w:val="00485D12"/>
    <w:rsid w:val="00490C6D"/>
    <w:rsid w:val="00494E14"/>
    <w:rsid w:val="004A11A6"/>
    <w:rsid w:val="004A5FE8"/>
    <w:rsid w:val="004A6D28"/>
    <w:rsid w:val="004B0B69"/>
    <w:rsid w:val="004B39FD"/>
    <w:rsid w:val="004C4749"/>
    <w:rsid w:val="004C715E"/>
    <w:rsid w:val="004D7970"/>
    <w:rsid w:val="004E0EFF"/>
    <w:rsid w:val="004E460F"/>
    <w:rsid w:val="004E5C29"/>
    <w:rsid w:val="004E62D5"/>
    <w:rsid w:val="004F7646"/>
    <w:rsid w:val="004F78CF"/>
    <w:rsid w:val="0050030A"/>
    <w:rsid w:val="005033CC"/>
    <w:rsid w:val="005127C4"/>
    <w:rsid w:val="00532902"/>
    <w:rsid w:val="005329C1"/>
    <w:rsid w:val="00540584"/>
    <w:rsid w:val="00550A80"/>
    <w:rsid w:val="0055340E"/>
    <w:rsid w:val="00554280"/>
    <w:rsid w:val="005544E7"/>
    <w:rsid w:val="005573E6"/>
    <w:rsid w:val="005651AD"/>
    <w:rsid w:val="005741B1"/>
    <w:rsid w:val="00590A5F"/>
    <w:rsid w:val="00590E39"/>
    <w:rsid w:val="00590E68"/>
    <w:rsid w:val="005913EC"/>
    <w:rsid w:val="00591E36"/>
    <w:rsid w:val="005A276C"/>
    <w:rsid w:val="005A47A7"/>
    <w:rsid w:val="005A6A68"/>
    <w:rsid w:val="005D053C"/>
    <w:rsid w:val="005D16BA"/>
    <w:rsid w:val="005D2C81"/>
    <w:rsid w:val="005E227F"/>
    <w:rsid w:val="005E26D5"/>
    <w:rsid w:val="005E537C"/>
    <w:rsid w:val="005E5824"/>
    <w:rsid w:val="005E6A2C"/>
    <w:rsid w:val="005F012F"/>
    <w:rsid w:val="005F1E6C"/>
    <w:rsid w:val="005F26EE"/>
    <w:rsid w:val="005F684C"/>
    <w:rsid w:val="005F7E48"/>
    <w:rsid w:val="00603D0C"/>
    <w:rsid w:val="0060505E"/>
    <w:rsid w:val="00611D56"/>
    <w:rsid w:val="006158C6"/>
    <w:rsid w:val="00617D5A"/>
    <w:rsid w:val="00623981"/>
    <w:rsid w:val="0062621B"/>
    <w:rsid w:val="00632A84"/>
    <w:rsid w:val="00634F5B"/>
    <w:rsid w:val="00646499"/>
    <w:rsid w:val="006529F5"/>
    <w:rsid w:val="00657BCF"/>
    <w:rsid w:val="006718DD"/>
    <w:rsid w:val="00673524"/>
    <w:rsid w:val="00674733"/>
    <w:rsid w:val="00676223"/>
    <w:rsid w:val="006800EF"/>
    <w:rsid w:val="00690B0C"/>
    <w:rsid w:val="00691C8E"/>
    <w:rsid w:val="00692B1A"/>
    <w:rsid w:val="00692C79"/>
    <w:rsid w:val="00693AF2"/>
    <w:rsid w:val="006A51E0"/>
    <w:rsid w:val="006A62F2"/>
    <w:rsid w:val="006B2516"/>
    <w:rsid w:val="006B4C5C"/>
    <w:rsid w:val="006B62AC"/>
    <w:rsid w:val="006C22EB"/>
    <w:rsid w:val="006C43F4"/>
    <w:rsid w:val="006E5CF3"/>
    <w:rsid w:val="006E6D4D"/>
    <w:rsid w:val="007005B7"/>
    <w:rsid w:val="00703B50"/>
    <w:rsid w:val="00714CEA"/>
    <w:rsid w:val="007209A1"/>
    <w:rsid w:val="00722656"/>
    <w:rsid w:val="00725330"/>
    <w:rsid w:val="00731C3C"/>
    <w:rsid w:val="00736681"/>
    <w:rsid w:val="00736D46"/>
    <w:rsid w:val="0073741D"/>
    <w:rsid w:val="00747DA8"/>
    <w:rsid w:val="0075673B"/>
    <w:rsid w:val="007612FD"/>
    <w:rsid w:val="00762C69"/>
    <w:rsid w:val="00765CA5"/>
    <w:rsid w:val="0077157D"/>
    <w:rsid w:val="007722D2"/>
    <w:rsid w:val="00772D79"/>
    <w:rsid w:val="00784432"/>
    <w:rsid w:val="00784A51"/>
    <w:rsid w:val="007A3436"/>
    <w:rsid w:val="007B080D"/>
    <w:rsid w:val="007B3E53"/>
    <w:rsid w:val="007C0E99"/>
    <w:rsid w:val="007C1CF1"/>
    <w:rsid w:val="007C656C"/>
    <w:rsid w:val="007D1704"/>
    <w:rsid w:val="007D2F34"/>
    <w:rsid w:val="007E1455"/>
    <w:rsid w:val="007F18D1"/>
    <w:rsid w:val="007F22CF"/>
    <w:rsid w:val="007F243A"/>
    <w:rsid w:val="007F2DE8"/>
    <w:rsid w:val="007F56B7"/>
    <w:rsid w:val="00802CFC"/>
    <w:rsid w:val="008070E1"/>
    <w:rsid w:val="00807F67"/>
    <w:rsid w:val="00810659"/>
    <w:rsid w:val="00820CDF"/>
    <w:rsid w:val="00825FA4"/>
    <w:rsid w:val="00827F4A"/>
    <w:rsid w:val="0083034A"/>
    <w:rsid w:val="00832913"/>
    <w:rsid w:val="00835552"/>
    <w:rsid w:val="00844637"/>
    <w:rsid w:val="00856B31"/>
    <w:rsid w:val="00863758"/>
    <w:rsid w:val="0086536F"/>
    <w:rsid w:val="00880980"/>
    <w:rsid w:val="00882068"/>
    <w:rsid w:val="008821C4"/>
    <w:rsid w:val="00882296"/>
    <w:rsid w:val="008845F4"/>
    <w:rsid w:val="008870CB"/>
    <w:rsid w:val="0089617D"/>
    <w:rsid w:val="008973F1"/>
    <w:rsid w:val="008A12DA"/>
    <w:rsid w:val="008A1B92"/>
    <w:rsid w:val="008A2272"/>
    <w:rsid w:val="008A7447"/>
    <w:rsid w:val="008B635A"/>
    <w:rsid w:val="008C0A35"/>
    <w:rsid w:val="008D2802"/>
    <w:rsid w:val="008D55CC"/>
    <w:rsid w:val="008E3230"/>
    <w:rsid w:val="008F45C6"/>
    <w:rsid w:val="008F5210"/>
    <w:rsid w:val="00904098"/>
    <w:rsid w:val="009069DB"/>
    <w:rsid w:val="0091218A"/>
    <w:rsid w:val="00925C7F"/>
    <w:rsid w:val="00927F8E"/>
    <w:rsid w:val="0093590C"/>
    <w:rsid w:val="009501F5"/>
    <w:rsid w:val="00955DCE"/>
    <w:rsid w:val="00961523"/>
    <w:rsid w:val="009636E6"/>
    <w:rsid w:val="00964E19"/>
    <w:rsid w:val="00972A49"/>
    <w:rsid w:val="00977B20"/>
    <w:rsid w:val="00985E7D"/>
    <w:rsid w:val="009928F0"/>
    <w:rsid w:val="009B09A1"/>
    <w:rsid w:val="009B15F8"/>
    <w:rsid w:val="009B5E19"/>
    <w:rsid w:val="009C3F55"/>
    <w:rsid w:val="009D496C"/>
    <w:rsid w:val="009D5107"/>
    <w:rsid w:val="009E36D1"/>
    <w:rsid w:val="009F03C7"/>
    <w:rsid w:val="009F07D6"/>
    <w:rsid w:val="00A03C6B"/>
    <w:rsid w:val="00A13038"/>
    <w:rsid w:val="00A14156"/>
    <w:rsid w:val="00A15AFC"/>
    <w:rsid w:val="00A17058"/>
    <w:rsid w:val="00A1742C"/>
    <w:rsid w:val="00A22137"/>
    <w:rsid w:val="00A23C31"/>
    <w:rsid w:val="00A251CE"/>
    <w:rsid w:val="00A27066"/>
    <w:rsid w:val="00A317B4"/>
    <w:rsid w:val="00A37C89"/>
    <w:rsid w:val="00A40A11"/>
    <w:rsid w:val="00A40C9E"/>
    <w:rsid w:val="00A422D6"/>
    <w:rsid w:val="00A43481"/>
    <w:rsid w:val="00A45D46"/>
    <w:rsid w:val="00A56953"/>
    <w:rsid w:val="00A645B3"/>
    <w:rsid w:val="00A64778"/>
    <w:rsid w:val="00A71304"/>
    <w:rsid w:val="00A84CD4"/>
    <w:rsid w:val="00A91287"/>
    <w:rsid w:val="00A947ED"/>
    <w:rsid w:val="00A94DFF"/>
    <w:rsid w:val="00AA1629"/>
    <w:rsid w:val="00AA1BBC"/>
    <w:rsid w:val="00AA32B4"/>
    <w:rsid w:val="00AB3CCC"/>
    <w:rsid w:val="00AB5156"/>
    <w:rsid w:val="00AB54DD"/>
    <w:rsid w:val="00AC044F"/>
    <w:rsid w:val="00AC08E6"/>
    <w:rsid w:val="00AD0DCE"/>
    <w:rsid w:val="00AD237A"/>
    <w:rsid w:val="00AE1710"/>
    <w:rsid w:val="00AE2362"/>
    <w:rsid w:val="00AE2A08"/>
    <w:rsid w:val="00AF3891"/>
    <w:rsid w:val="00B01DBE"/>
    <w:rsid w:val="00B03813"/>
    <w:rsid w:val="00B113C9"/>
    <w:rsid w:val="00B126A5"/>
    <w:rsid w:val="00B131E0"/>
    <w:rsid w:val="00B23C7E"/>
    <w:rsid w:val="00B24F4B"/>
    <w:rsid w:val="00B2797B"/>
    <w:rsid w:val="00B35D15"/>
    <w:rsid w:val="00B36217"/>
    <w:rsid w:val="00B46D03"/>
    <w:rsid w:val="00B617BA"/>
    <w:rsid w:val="00B6457D"/>
    <w:rsid w:val="00B66A80"/>
    <w:rsid w:val="00B72CBA"/>
    <w:rsid w:val="00B80C63"/>
    <w:rsid w:val="00B8209F"/>
    <w:rsid w:val="00B85441"/>
    <w:rsid w:val="00B93241"/>
    <w:rsid w:val="00B962E2"/>
    <w:rsid w:val="00BC59C7"/>
    <w:rsid w:val="00BD0CFC"/>
    <w:rsid w:val="00BD19B6"/>
    <w:rsid w:val="00BD3F20"/>
    <w:rsid w:val="00BD7D48"/>
    <w:rsid w:val="00BE0C40"/>
    <w:rsid w:val="00BE4DC6"/>
    <w:rsid w:val="00BF5B15"/>
    <w:rsid w:val="00C0547A"/>
    <w:rsid w:val="00C055C2"/>
    <w:rsid w:val="00C0758D"/>
    <w:rsid w:val="00C1796C"/>
    <w:rsid w:val="00C2277A"/>
    <w:rsid w:val="00C36D83"/>
    <w:rsid w:val="00C40618"/>
    <w:rsid w:val="00C467E8"/>
    <w:rsid w:val="00C50DE1"/>
    <w:rsid w:val="00C51370"/>
    <w:rsid w:val="00C538FC"/>
    <w:rsid w:val="00C60941"/>
    <w:rsid w:val="00C64102"/>
    <w:rsid w:val="00C64ED4"/>
    <w:rsid w:val="00C74280"/>
    <w:rsid w:val="00C837AB"/>
    <w:rsid w:val="00C864ED"/>
    <w:rsid w:val="00C87747"/>
    <w:rsid w:val="00C87B38"/>
    <w:rsid w:val="00C90741"/>
    <w:rsid w:val="00CA5B30"/>
    <w:rsid w:val="00CA6C24"/>
    <w:rsid w:val="00CA73CC"/>
    <w:rsid w:val="00CB5267"/>
    <w:rsid w:val="00CC0F42"/>
    <w:rsid w:val="00CC2236"/>
    <w:rsid w:val="00CD3943"/>
    <w:rsid w:val="00CD3953"/>
    <w:rsid w:val="00CD4A61"/>
    <w:rsid w:val="00CD58B1"/>
    <w:rsid w:val="00CE04FC"/>
    <w:rsid w:val="00CE0661"/>
    <w:rsid w:val="00CE3910"/>
    <w:rsid w:val="00CE45DA"/>
    <w:rsid w:val="00CE5B8E"/>
    <w:rsid w:val="00CF1D10"/>
    <w:rsid w:val="00D03CAB"/>
    <w:rsid w:val="00D05743"/>
    <w:rsid w:val="00D07710"/>
    <w:rsid w:val="00D24234"/>
    <w:rsid w:val="00D3101B"/>
    <w:rsid w:val="00D33020"/>
    <w:rsid w:val="00D3491C"/>
    <w:rsid w:val="00D36907"/>
    <w:rsid w:val="00D36F69"/>
    <w:rsid w:val="00D4245D"/>
    <w:rsid w:val="00D442BD"/>
    <w:rsid w:val="00D52048"/>
    <w:rsid w:val="00D5279E"/>
    <w:rsid w:val="00D544BE"/>
    <w:rsid w:val="00D555AA"/>
    <w:rsid w:val="00D67D31"/>
    <w:rsid w:val="00D72B33"/>
    <w:rsid w:val="00D770EF"/>
    <w:rsid w:val="00D82306"/>
    <w:rsid w:val="00D8562D"/>
    <w:rsid w:val="00DA30E6"/>
    <w:rsid w:val="00DB5C8E"/>
    <w:rsid w:val="00DC0CC2"/>
    <w:rsid w:val="00DC16B7"/>
    <w:rsid w:val="00DC6B44"/>
    <w:rsid w:val="00DD3557"/>
    <w:rsid w:val="00DD3ABA"/>
    <w:rsid w:val="00DD6646"/>
    <w:rsid w:val="00DE463C"/>
    <w:rsid w:val="00DE59D6"/>
    <w:rsid w:val="00DE5E0C"/>
    <w:rsid w:val="00DF1FAB"/>
    <w:rsid w:val="00DF3CEE"/>
    <w:rsid w:val="00DF587F"/>
    <w:rsid w:val="00E006A6"/>
    <w:rsid w:val="00E12CA8"/>
    <w:rsid w:val="00E13C90"/>
    <w:rsid w:val="00E202AB"/>
    <w:rsid w:val="00E2183F"/>
    <w:rsid w:val="00E22AE6"/>
    <w:rsid w:val="00E22C67"/>
    <w:rsid w:val="00E31484"/>
    <w:rsid w:val="00E340DB"/>
    <w:rsid w:val="00E441F7"/>
    <w:rsid w:val="00E45C78"/>
    <w:rsid w:val="00E51857"/>
    <w:rsid w:val="00E6245E"/>
    <w:rsid w:val="00E74B13"/>
    <w:rsid w:val="00E76B1F"/>
    <w:rsid w:val="00E80756"/>
    <w:rsid w:val="00E9267B"/>
    <w:rsid w:val="00E92CDE"/>
    <w:rsid w:val="00E93C6E"/>
    <w:rsid w:val="00E94BD5"/>
    <w:rsid w:val="00E9573B"/>
    <w:rsid w:val="00EA0907"/>
    <w:rsid w:val="00EA0B64"/>
    <w:rsid w:val="00EA55B1"/>
    <w:rsid w:val="00EB1696"/>
    <w:rsid w:val="00EC14B4"/>
    <w:rsid w:val="00EC442C"/>
    <w:rsid w:val="00EC455D"/>
    <w:rsid w:val="00EC58ED"/>
    <w:rsid w:val="00ED46F2"/>
    <w:rsid w:val="00EE0D01"/>
    <w:rsid w:val="00F023B5"/>
    <w:rsid w:val="00F07BEC"/>
    <w:rsid w:val="00F1217B"/>
    <w:rsid w:val="00F2067A"/>
    <w:rsid w:val="00F21AE1"/>
    <w:rsid w:val="00F23F64"/>
    <w:rsid w:val="00F33408"/>
    <w:rsid w:val="00F35FE5"/>
    <w:rsid w:val="00F4196C"/>
    <w:rsid w:val="00F4254E"/>
    <w:rsid w:val="00F459EC"/>
    <w:rsid w:val="00F461CE"/>
    <w:rsid w:val="00F50B07"/>
    <w:rsid w:val="00F50DE6"/>
    <w:rsid w:val="00F63CFA"/>
    <w:rsid w:val="00F64C08"/>
    <w:rsid w:val="00F703DD"/>
    <w:rsid w:val="00F87641"/>
    <w:rsid w:val="00F93B4F"/>
    <w:rsid w:val="00F93EBD"/>
    <w:rsid w:val="00F944A6"/>
    <w:rsid w:val="00FA06DC"/>
    <w:rsid w:val="00FA4105"/>
    <w:rsid w:val="00FA5664"/>
    <w:rsid w:val="00FB4DB0"/>
    <w:rsid w:val="00FC06E6"/>
    <w:rsid w:val="00FC458C"/>
    <w:rsid w:val="00FE49A7"/>
    <w:rsid w:val="00FE4AF0"/>
    <w:rsid w:val="00FF122F"/>
    <w:rsid w:val="00FF6581"/>
    <w:rsid w:val="00FF7074"/>
    <w:rsid w:val="039211E8"/>
    <w:rsid w:val="08452820"/>
    <w:rsid w:val="0C9F68C2"/>
    <w:rsid w:val="0E9A7981"/>
    <w:rsid w:val="0EEA4289"/>
    <w:rsid w:val="11F23C53"/>
    <w:rsid w:val="138E1A23"/>
    <w:rsid w:val="174156B7"/>
    <w:rsid w:val="1BCB44A6"/>
    <w:rsid w:val="1C947772"/>
    <w:rsid w:val="22DB33C0"/>
    <w:rsid w:val="232F75C6"/>
    <w:rsid w:val="2B09362A"/>
    <w:rsid w:val="2BA91EAE"/>
    <w:rsid w:val="2D5269E7"/>
    <w:rsid w:val="37BF4F82"/>
    <w:rsid w:val="3A9337A6"/>
    <w:rsid w:val="3E5654D6"/>
    <w:rsid w:val="3F7A6532"/>
    <w:rsid w:val="3FA23E73"/>
    <w:rsid w:val="43C14C38"/>
    <w:rsid w:val="43EC12FF"/>
    <w:rsid w:val="46E22257"/>
    <w:rsid w:val="491A6A23"/>
    <w:rsid w:val="4A4C2273"/>
    <w:rsid w:val="5EB9600F"/>
    <w:rsid w:val="5EFD5A43"/>
    <w:rsid w:val="6B0C74AF"/>
    <w:rsid w:val="6DB17BD7"/>
    <w:rsid w:val="6DB7708E"/>
    <w:rsid w:val="71F37403"/>
    <w:rsid w:val="72C928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pageBreakBefore/>
      <w:spacing w:before="340" w:after="330" w:line="360" w:lineRule="auto"/>
      <w:jc w:val="center"/>
      <w:outlineLvl w:val="0"/>
    </w:pPr>
    <w:rPr>
      <w:rFonts w:ascii="黑体" w:eastAsia="仿宋_GB2312"/>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5">
    <w:name w:val="Plain Text"/>
    <w:basedOn w:val="1"/>
    <w:uiPriority w:val="0"/>
    <w:rPr>
      <w:rFonts w:ascii="宋体" w:hAnsi="Courier New" w:cs="Courier New"/>
      <w:szCs w:val="21"/>
    </w:rPr>
  </w:style>
  <w:style w:type="paragraph" w:styleId="6">
    <w:name w:val="Balloon Text"/>
    <w:basedOn w:val="1"/>
    <w:semiHidden/>
    <w:uiPriority w:val="0"/>
    <w:rPr>
      <w:sz w:val="18"/>
      <w:szCs w:val="18"/>
    </w:rPr>
  </w:style>
  <w:style w:type="paragraph" w:styleId="7">
    <w:name w:val="footer"/>
    <w:basedOn w:val="1"/>
    <w:link w:val="68"/>
    <w:uiPriority w:val="99"/>
    <w:pPr>
      <w:tabs>
        <w:tab w:val="center" w:pos="4153"/>
        <w:tab w:val="right" w:pos="8306"/>
      </w:tabs>
      <w:snapToGrid w:val="0"/>
      <w:jc w:val="left"/>
    </w:pPr>
    <w:rPr>
      <w:sz w:val="18"/>
      <w:szCs w:val="18"/>
    </w:rPr>
  </w:style>
  <w:style w:type="paragraph" w:styleId="8">
    <w:name w:val="header"/>
    <w:basedOn w:val="1"/>
    <w:link w:val="69"/>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style>
  <w:style w:type="paragraph" w:styleId="10">
    <w:name w:val="toc 2"/>
    <w:basedOn w:val="1"/>
    <w:next w:val="1"/>
    <w:uiPriority w:val="39"/>
    <w:pPr>
      <w:ind w:left="420" w:leftChars="200"/>
    </w:pPr>
  </w:style>
  <w:style w:type="paragraph" w:styleId="11">
    <w:name w:val="Normal (Web)"/>
    <w:basedOn w:val="1"/>
    <w:uiPriority w:val="99"/>
    <w:pPr>
      <w:widowControl/>
      <w:spacing w:before="100" w:beforeLines="0" w:beforeAutospacing="1" w:after="100" w:afterLines="0" w:afterAutospacing="1" w:line="236" w:lineRule="atLeast"/>
      <w:jc w:val="left"/>
    </w:pPr>
    <w:rPr>
      <w:rFonts w:ascii="宋体" w:hAnsi="宋体" w:cs="宋体"/>
      <w:kern w:val="0"/>
      <w:sz w:val="22"/>
      <w:szCs w:val="22"/>
    </w:rPr>
  </w:style>
  <w:style w:type="paragraph" w:styleId="12">
    <w:name w:val="Title"/>
    <w:basedOn w:val="1"/>
    <w:next w:val="1"/>
    <w:link w:val="19"/>
    <w:qFormat/>
    <w:uiPriority w:val="0"/>
    <w:pPr>
      <w:spacing w:before="240" w:after="60"/>
      <w:jc w:val="center"/>
      <w:outlineLvl w:val="0"/>
    </w:pPr>
    <w:rPr>
      <w:rFonts w:ascii="Cambria" w:hAnsi="Cambria"/>
      <w:b/>
      <w:bCs/>
      <w:sz w:val="32"/>
      <w:szCs w:val="32"/>
    </w:r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page number"/>
    <w:basedOn w:val="15"/>
    <w:uiPriority w:val="0"/>
  </w:style>
  <w:style w:type="character" w:styleId="18">
    <w:name w:val="Hyperlink"/>
    <w:uiPriority w:val="99"/>
    <w:rPr>
      <w:color w:val="3366CC"/>
      <w:u w:val="single"/>
    </w:rPr>
  </w:style>
  <w:style w:type="character" w:customStyle="1" w:styleId="19">
    <w:name w:val="标题 Char"/>
    <w:link w:val="12"/>
    <w:uiPriority w:val="0"/>
    <w:rPr>
      <w:rFonts w:ascii="Cambria" w:hAnsi="Cambria" w:eastAsia="宋体"/>
      <w:b/>
      <w:bCs/>
      <w:kern w:val="2"/>
      <w:sz w:val="32"/>
      <w:szCs w:val="32"/>
      <w:lang w:val="en-US" w:eastAsia="zh-CN" w:bidi="ar-SA"/>
    </w:rPr>
  </w:style>
  <w:style w:type="paragraph" w:customStyle="1" w:styleId="20">
    <w:name w:val="reader-word-layer reader-word-s17-4 reader-word-s17-10"/>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3-9"/>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17-11"/>
    <w:basedOn w:val="1"/>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3-7"/>
    <w:basedOn w:val="1"/>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9-0"/>
    <w:basedOn w:val="1"/>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18-13"/>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17-13"/>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17-7"/>
    <w:basedOn w:val="1"/>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8-5 reader-word-s18-12"/>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3-8"/>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3-10"/>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20-4"/>
    <w:basedOn w:val="1"/>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17-3"/>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17-9"/>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 Char Char Char Char"/>
    <w:basedOn w:val="1"/>
    <w:uiPriority w:val="0"/>
    <w:pPr>
      <w:numPr>
        <w:ilvl w:val="0"/>
        <w:numId w:val="1"/>
      </w:numPr>
      <w:spacing w:line="360" w:lineRule="auto"/>
      <w:ind w:left="0"/>
    </w:pPr>
    <w:rPr>
      <w:sz w:val="24"/>
    </w:rPr>
  </w:style>
  <w:style w:type="paragraph" w:customStyle="1" w:styleId="35">
    <w:name w:val="reader-word-layer reader-word-s17-8"/>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17-12"/>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19-8"/>
    <w:basedOn w:val="1"/>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19-3"/>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18-15"/>
    <w:basedOn w:val="1"/>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18-5"/>
    <w:basedOn w:val="1"/>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19-4 reader-word-s19-6"/>
    <w:basedOn w:val="1"/>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19-5"/>
    <w:basedOn w:val="1"/>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18-0"/>
    <w:basedOn w:val="1"/>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18-3"/>
    <w:basedOn w:val="1"/>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18-10"/>
    <w:basedOn w:val="1"/>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0-5"/>
    <w:basedOn w:val="1"/>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18-14"/>
    <w:basedOn w:val="1"/>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11"/>
    <w:basedOn w:val="1"/>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18-6 reader-word-s18-12"/>
    <w:basedOn w:val="1"/>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17-8 reader-word-s17-11"/>
    <w:basedOn w:val="1"/>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19-7"/>
    <w:basedOn w:val="1"/>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18-9"/>
    <w:basedOn w:val="1"/>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18-7"/>
    <w:basedOn w:val="1"/>
    <w:uiPriority w:val="0"/>
    <w:pPr>
      <w:widowControl/>
      <w:spacing w:before="100" w:beforeAutospacing="1" w:after="100" w:afterAutospacing="1"/>
      <w:jc w:val="left"/>
    </w:pPr>
    <w:rPr>
      <w:rFonts w:ascii="宋体" w:hAnsi="宋体" w:cs="宋体"/>
      <w:kern w:val="0"/>
      <w:sz w:val="24"/>
    </w:rPr>
  </w:style>
  <w:style w:type="paragraph" w:customStyle="1" w:styleId="54">
    <w:name w:val="reader-word-layer reader-word-s20-0"/>
    <w:basedOn w:val="1"/>
    <w:uiPriority w:val="0"/>
    <w:pPr>
      <w:widowControl/>
      <w:spacing w:before="100" w:beforeAutospacing="1" w:after="100" w:afterAutospacing="1"/>
      <w:jc w:val="left"/>
    </w:pPr>
    <w:rPr>
      <w:rFonts w:ascii="宋体" w:hAnsi="宋体" w:cs="宋体"/>
      <w:kern w:val="0"/>
      <w:sz w:val="24"/>
    </w:rPr>
  </w:style>
  <w:style w:type="paragraph" w:customStyle="1" w:styleId="55">
    <w:name w:val="reader-word-layer reader-word-s17-0"/>
    <w:basedOn w:val="1"/>
    <w:uiPriority w:val="0"/>
    <w:pPr>
      <w:widowControl/>
      <w:spacing w:before="100" w:beforeAutospacing="1" w:after="100" w:afterAutospacing="1"/>
      <w:jc w:val="left"/>
    </w:pPr>
    <w:rPr>
      <w:rFonts w:ascii="宋体" w:hAnsi="宋体" w:cs="宋体"/>
      <w:kern w:val="0"/>
      <w:sz w:val="24"/>
    </w:rPr>
  </w:style>
  <w:style w:type="paragraph" w:customStyle="1" w:styleId="56">
    <w:name w:val="reader-word-layer reader-word-s19-12"/>
    <w:basedOn w:val="1"/>
    <w:uiPriority w:val="0"/>
    <w:pPr>
      <w:widowControl/>
      <w:spacing w:before="100" w:beforeAutospacing="1" w:after="100" w:afterAutospacing="1"/>
      <w:jc w:val="left"/>
    </w:pPr>
    <w:rPr>
      <w:rFonts w:ascii="宋体" w:hAnsi="宋体" w:cs="宋体"/>
      <w:kern w:val="0"/>
      <w:sz w:val="24"/>
    </w:rPr>
  </w:style>
  <w:style w:type="paragraph" w:customStyle="1" w:styleId="57">
    <w:name w:val="reader-word-layer reader-word-s18-6"/>
    <w:basedOn w:val="1"/>
    <w:uiPriority w:val="0"/>
    <w:pPr>
      <w:widowControl/>
      <w:spacing w:before="100" w:beforeAutospacing="1" w:after="100" w:afterAutospacing="1"/>
      <w:jc w:val="left"/>
    </w:pPr>
    <w:rPr>
      <w:rFonts w:ascii="宋体" w:hAnsi="宋体" w:cs="宋体"/>
      <w:kern w:val="0"/>
      <w:sz w:val="24"/>
    </w:rPr>
  </w:style>
  <w:style w:type="paragraph" w:customStyle="1" w:styleId="58">
    <w:name w:val="reader-word-layer reader-word-s19-10"/>
    <w:basedOn w:val="1"/>
    <w:uiPriority w:val="0"/>
    <w:pPr>
      <w:widowControl/>
      <w:spacing w:before="100" w:beforeAutospacing="1" w:after="100" w:afterAutospacing="1"/>
      <w:jc w:val="left"/>
    </w:pPr>
    <w:rPr>
      <w:rFonts w:ascii="宋体" w:hAnsi="宋体" w:cs="宋体"/>
      <w:kern w:val="0"/>
      <w:sz w:val="24"/>
    </w:rPr>
  </w:style>
  <w:style w:type="paragraph" w:customStyle="1" w:styleId="59">
    <w:name w:val="reader-word-layer reader-word-s17-6"/>
    <w:basedOn w:val="1"/>
    <w:uiPriority w:val="0"/>
    <w:pPr>
      <w:widowControl/>
      <w:spacing w:before="100" w:beforeAutospacing="1" w:after="100" w:afterAutospacing="1"/>
      <w:jc w:val="left"/>
    </w:pPr>
    <w:rPr>
      <w:rFonts w:ascii="宋体" w:hAnsi="宋体" w:cs="宋体"/>
      <w:kern w:val="0"/>
      <w:sz w:val="24"/>
    </w:rPr>
  </w:style>
  <w:style w:type="paragraph" w:customStyle="1" w:styleId="60">
    <w:name w:val="reader-word-layer reader-word-s18-9 reader-word-s18-10"/>
    <w:basedOn w:val="1"/>
    <w:uiPriority w:val="0"/>
    <w:pPr>
      <w:widowControl/>
      <w:spacing w:before="100" w:beforeAutospacing="1" w:after="100" w:afterAutospacing="1"/>
      <w:jc w:val="left"/>
    </w:pPr>
    <w:rPr>
      <w:rFonts w:ascii="宋体" w:hAnsi="宋体" w:cs="宋体"/>
      <w:kern w:val="0"/>
      <w:sz w:val="24"/>
    </w:rPr>
  </w:style>
  <w:style w:type="paragraph" w:customStyle="1" w:styleId="61">
    <w:name w:val="reader-word-layer reader-word-s18-11"/>
    <w:basedOn w:val="1"/>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9-9"/>
    <w:basedOn w:val="1"/>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19-11"/>
    <w:basedOn w:val="1"/>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8-7 reader-word-s18-9"/>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7-4"/>
    <w:basedOn w:val="1"/>
    <w:uiPriority w:val="0"/>
    <w:pPr>
      <w:widowControl/>
      <w:spacing w:before="100" w:beforeAutospacing="1" w:after="100" w:afterAutospacing="1"/>
      <w:jc w:val="left"/>
    </w:pPr>
    <w:rPr>
      <w:rFonts w:ascii="宋体" w:hAnsi="宋体" w:cs="宋体"/>
      <w:kern w:val="0"/>
      <w:sz w:val="24"/>
    </w:rPr>
  </w:style>
  <w:style w:type="paragraph" w:customStyle="1" w:styleId="66">
    <w:name w:val="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67">
    <w:name w:val="reader-word-layer reader-word-s20-7"/>
    <w:basedOn w:val="1"/>
    <w:uiPriority w:val="0"/>
    <w:pPr>
      <w:widowControl/>
      <w:spacing w:before="100" w:beforeAutospacing="1" w:after="100" w:afterAutospacing="1"/>
      <w:jc w:val="left"/>
    </w:pPr>
    <w:rPr>
      <w:rFonts w:ascii="宋体" w:hAnsi="宋体" w:cs="宋体"/>
      <w:kern w:val="0"/>
      <w:sz w:val="24"/>
    </w:rPr>
  </w:style>
  <w:style w:type="character" w:customStyle="1" w:styleId="68">
    <w:name w:val="页脚 Char"/>
    <w:basedOn w:val="15"/>
    <w:link w:val="7"/>
    <w:uiPriority w:val="99"/>
    <w:rPr>
      <w:kern w:val="2"/>
      <w:sz w:val="18"/>
      <w:szCs w:val="18"/>
    </w:rPr>
  </w:style>
  <w:style w:type="character" w:customStyle="1" w:styleId="69">
    <w:name w:val="页眉 Char"/>
    <w:basedOn w:val="15"/>
    <w:link w:val="8"/>
    <w:uiPriority w:val="99"/>
    <w:rPr>
      <w:kern w:val="2"/>
      <w:sz w:val="18"/>
      <w:szCs w:val="18"/>
    </w:rPr>
  </w:style>
  <w:style w:type="paragraph" w:styleId="7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39</Pages>
  <Words>20529</Words>
  <Characters>22253</Characters>
  <Lines>182</Lines>
  <Paragraphs>51</Paragraphs>
  <TotalTime>0</TotalTime>
  <ScaleCrop>false</ScaleCrop>
  <LinksUpToDate>false</LinksUpToDate>
  <CharactersWithSpaces>22594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2018-04-12T08:20:00Z</dcterms:created>
  <dc:creator>微软用户</dc:creator>
  <cp:lastModifiedBy>ZCZ</cp:lastModifiedBy>
  <cp:lastPrinted>2022-08-11T08:25:00Z</cp:lastPrinted>
  <dcterms:modified xsi:type="dcterms:W3CDTF">2022-08-22T00:00:56Z</dcterms:modified>
  <dc:title>一、</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C5E2E98E54604EC2A46FF9A0A099674E</vt:lpwstr>
  </property>
</Properties>
</file>