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ind w:right="-109" w:rightChars="-52"/>
        <w:jc w:val="distribute"/>
        <w:rPr>
          <w:rFonts w:hint="eastAsia" w:ascii="方正小标宋简体" w:eastAsia="方正小标宋简体"/>
          <w:color w:val="FF0000"/>
          <w:spacing w:val="-40"/>
          <w:w w:val="75"/>
          <w:sz w:val="110"/>
          <w:szCs w:val="110"/>
        </w:rPr>
      </w:pPr>
      <w:r>
        <w:rPr>
          <w:rFonts w:hint="eastAsia" w:ascii="方正小标宋简体" w:eastAsia="方正小标宋简体"/>
          <w:color w:val="FF0000"/>
          <w:spacing w:val="-40"/>
          <w:w w:val="75"/>
          <w:sz w:val="110"/>
          <w:szCs w:val="110"/>
        </w:rPr>
        <w:t>天台县</w:t>
      </w:r>
      <w:r>
        <w:rPr>
          <w:rFonts w:hint="eastAsia" w:ascii="方正小标宋简体" w:eastAsia="方正小标宋简体"/>
          <w:color w:val="FF0000"/>
          <w:spacing w:val="-40"/>
          <w:w w:val="75"/>
          <w:sz w:val="110"/>
          <w:szCs w:val="110"/>
          <w:lang w:eastAsia="zh-CN"/>
        </w:rPr>
        <w:t>科学技术局</w:t>
      </w:r>
      <w:r>
        <w:rPr>
          <w:rFonts w:hint="eastAsia" w:ascii="方正小标宋简体" w:eastAsia="方正小标宋简体"/>
          <w:color w:val="FF0000"/>
          <w:spacing w:val="-40"/>
          <w:w w:val="75"/>
          <w:sz w:val="110"/>
          <w:szCs w:val="110"/>
        </w:rPr>
        <w:t>文件</w:t>
      </w:r>
    </w:p>
    <w:p>
      <w:pPr>
        <w:spacing w:line="600" w:lineRule="exact"/>
        <w:jc w:val="both"/>
        <w:rPr>
          <w:rStyle w:val="4"/>
          <w:rFonts w:hint="eastAsia" w:ascii="宋体" w:hAnsi="宋体" w:cs="Tahoma"/>
          <w:b w:val="0"/>
          <w:sz w:val="30"/>
          <w:szCs w:val="30"/>
        </w:rPr>
      </w:pPr>
    </w:p>
    <w:p>
      <w:pPr>
        <w:spacing w:line="600" w:lineRule="exact"/>
        <w:jc w:val="center"/>
        <w:rPr>
          <w:rStyle w:val="4"/>
          <w:rFonts w:hint="eastAsia" w:ascii="宋体" w:hAnsi="宋体" w:cs="Tahoma"/>
          <w:b w:val="0"/>
          <w:sz w:val="30"/>
          <w:szCs w:val="30"/>
        </w:rPr>
      </w:pPr>
      <w:r>
        <w:rPr>
          <w:rStyle w:val="4"/>
          <w:rFonts w:hint="eastAsia" w:ascii="宋体" w:hAnsi="宋体" w:cs="Tahoma"/>
          <w:b w:val="0"/>
          <w:sz w:val="30"/>
          <w:szCs w:val="30"/>
        </w:rPr>
        <w:t>天科[201</w:t>
      </w:r>
      <w:r>
        <w:rPr>
          <w:rStyle w:val="4"/>
          <w:rFonts w:hint="eastAsia" w:ascii="宋体" w:hAnsi="宋体" w:cs="Tahoma"/>
          <w:b w:val="0"/>
          <w:sz w:val="30"/>
          <w:szCs w:val="30"/>
          <w:lang w:val="en-US" w:eastAsia="zh-CN"/>
        </w:rPr>
        <w:t>9</w:t>
      </w:r>
      <w:r>
        <w:rPr>
          <w:rStyle w:val="4"/>
          <w:rFonts w:hint="eastAsia" w:ascii="宋体" w:hAnsi="宋体" w:cs="Tahoma"/>
          <w:b w:val="0"/>
          <w:sz w:val="30"/>
          <w:szCs w:val="30"/>
        </w:rPr>
        <w:t>]</w:t>
      </w:r>
      <w:r>
        <w:rPr>
          <w:rStyle w:val="4"/>
          <w:rFonts w:hint="eastAsia" w:ascii="宋体" w:hAnsi="宋体" w:cs="Tahoma"/>
          <w:b w:val="0"/>
          <w:sz w:val="30"/>
          <w:szCs w:val="30"/>
          <w:lang w:val="en-US" w:eastAsia="zh-CN"/>
        </w:rPr>
        <w:t xml:space="preserve"> 2</w:t>
      </w:r>
      <w:r>
        <w:rPr>
          <w:rStyle w:val="4"/>
          <w:rFonts w:hint="eastAsia" w:ascii="宋体" w:hAnsi="宋体" w:cs="Tahoma"/>
          <w:b w:val="0"/>
          <w:sz w:val="30"/>
          <w:szCs w:val="30"/>
        </w:rPr>
        <w:t>号</w:t>
      </w:r>
    </w:p>
    <w:p>
      <w:pPr>
        <w:spacing w:line="600" w:lineRule="exact"/>
        <w:jc w:val="center"/>
        <w:rPr>
          <w:rStyle w:val="4"/>
          <w:rFonts w:hint="eastAsia" w:ascii="宋体" w:hAnsi="宋体" w:cs="Tahoma"/>
          <w:b w:val="0"/>
          <w:sz w:val="30"/>
          <w:szCs w:val="30"/>
        </w:rPr>
      </w:pPr>
      <w:r>
        <w:rPr>
          <w:sz w:val="44"/>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297180</wp:posOffset>
                </wp:positionV>
                <wp:extent cx="5318760" cy="635"/>
                <wp:effectExtent l="0" t="0" r="0" b="0"/>
                <wp:wrapNone/>
                <wp:docPr id="1" name="直接连接符 1"/>
                <wp:cNvGraphicFramePr/>
                <a:graphic xmlns:a="http://schemas.openxmlformats.org/drawingml/2006/main">
                  <a:graphicData uri="http://schemas.microsoft.com/office/word/2010/wordprocessingShape">
                    <wps:wsp>
                      <wps:cNvCnPr/>
                      <wps:spPr>
                        <a:xfrm>
                          <a:off x="1104265" y="3796030"/>
                          <a:ext cx="531876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23.4pt;height:0.05pt;width:418.8pt;z-index:251661312;mso-width-relative:page;mso-height-relative:page;" filled="f" stroked="t" coordsize="21600,21600" o:gfxdata="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ddkI2AAAAAgBAAAPAAAAAAAAAAEAIAAAACIA&#10;AABkcnMvZG93bnJldi54bWxQSwECFAAUAAAACACHTuJAroNQwgkCAAABBAAADgAAAAAAAAABACAA&#10;AAAnAQAAZHJzL2Uyb0RvYy54bWxQSwUGAAAAAAYABgBZAQAAogUAAAAA&#10;">
                <v:fill on="f" focussize="0,0"/>
                <v:stroke weight="1.5pt" color="#FF0000" joinstyle="round"/>
                <v:imagedata o:title=""/>
                <o:lock v:ext="edit" aspectratio="f"/>
              </v:line>
            </w:pict>
          </mc:Fallback>
        </mc:AlternateContent>
      </w:r>
    </w:p>
    <w:p>
      <w:pPr>
        <w:spacing w:line="600" w:lineRule="exact"/>
        <w:jc w:val="center"/>
        <w:rPr>
          <w:rFonts w:hint="eastAsia" w:asciiTheme="majorEastAsia" w:hAnsiTheme="majorEastAsia" w:eastAsiaTheme="majorEastAsia"/>
          <w:b/>
          <w:sz w:val="44"/>
          <w:szCs w:val="44"/>
        </w:rPr>
      </w:pPr>
    </w:p>
    <w:p>
      <w:pPr>
        <w:spacing w:line="54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天台县农业科技重点项目资金支持办法</w:t>
      </w:r>
    </w:p>
    <w:p>
      <w:pPr>
        <w:spacing w:line="540" w:lineRule="exact"/>
        <w:rPr>
          <w:rFonts w:hint="eastAsia" w:ascii="仿宋" w:hAnsi="仿宋" w:eastAsia="仿宋"/>
          <w:sz w:val="32"/>
          <w:szCs w:val="32"/>
          <w:lang w:val="en-US" w:eastAsia="zh-CN"/>
        </w:rPr>
      </w:pPr>
    </w:p>
    <w:p>
      <w:pPr>
        <w:spacing w:line="54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各科室：</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为加强农业科技重点项目资金支持的合理性、规范性和可操作性，根据《</w:t>
      </w:r>
      <w:bookmarkStart w:id="0" w:name="OLE_LINK42"/>
      <w:r>
        <w:rPr>
          <w:rFonts w:hint="eastAsia" w:ascii="仿宋" w:hAnsi="仿宋" w:eastAsia="仿宋"/>
          <w:sz w:val="32"/>
          <w:szCs w:val="32"/>
        </w:rPr>
        <w:t>天台县县级科技资金使用管理办法</w:t>
      </w:r>
      <w:bookmarkEnd w:id="0"/>
      <w:r>
        <w:rPr>
          <w:rFonts w:hint="eastAsia" w:ascii="仿宋" w:hAnsi="仿宋" w:eastAsia="仿宋"/>
          <w:sz w:val="32"/>
          <w:szCs w:val="32"/>
        </w:rPr>
        <w:t>》（天科〔2016〕19号）的有关条款，特制定本办法。</w:t>
      </w:r>
    </w:p>
    <w:p>
      <w:pPr>
        <w:spacing w:line="540" w:lineRule="exact"/>
        <w:ind w:firstLine="640" w:firstLineChars="200"/>
        <w:jc w:val="left"/>
        <w:rPr>
          <w:rFonts w:asciiTheme="majorEastAsia" w:hAnsiTheme="majorEastAsia" w:eastAsiaTheme="majorEastAsia"/>
          <w:sz w:val="32"/>
          <w:szCs w:val="32"/>
        </w:rPr>
      </w:pPr>
      <w:r>
        <w:rPr>
          <w:rFonts w:hint="eastAsia" w:asciiTheme="majorEastAsia" w:hAnsiTheme="majorEastAsia" w:eastAsiaTheme="majorEastAsia"/>
          <w:sz w:val="32"/>
          <w:szCs w:val="32"/>
        </w:rPr>
        <w:t>第一条  支持对象及数量</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 xml:space="preserve"> 支持对象为我县各类涉农企业、合作社、家庭农场等经济组织。</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县科技局每年组织县级农业科技重点项目的申报,并对项目择优进行支持，原则上不超过10项。</w:t>
      </w:r>
      <w:r>
        <w:rPr>
          <w:rFonts w:hint="eastAsia" w:ascii="仿宋" w:hAnsi="仿宋" w:eastAsia="仿宋" w:cs="仿宋"/>
          <w:color w:val="000000"/>
          <w:sz w:val="32"/>
          <w:szCs w:val="32"/>
        </w:rPr>
        <w:t>若当年项目申报数在6项及以下，则当年项目轮空并进行公告。</w:t>
      </w:r>
    </w:p>
    <w:p>
      <w:pPr>
        <w:spacing w:line="540" w:lineRule="exact"/>
        <w:ind w:firstLine="640" w:firstLineChars="200"/>
        <w:jc w:val="left"/>
        <w:rPr>
          <w:rFonts w:cs="仿宋" w:asciiTheme="majorEastAsia" w:hAnsiTheme="majorEastAsia" w:eastAsiaTheme="majorEastAsia"/>
          <w:color w:val="000000"/>
          <w:sz w:val="32"/>
          <w:szCs w:val="32"/>
        </w:rPr>
      </w:pPr>
      <w:r>
        <w:rPr>
          <w:rFonts w:hint="eastAsia" w:cs="仿宋" w:asciiTheme="majorEastAsia" w:hAnsiTheme="majorEastAsia" w:eastAsiaTheme="majorEastAsia"/>
          <w:color w:val="000000"/>
          <w:sz w:val="32"/>
          <w:szCs w:val="32"/>
        </w:rPr>
        <w:t>第二条  支持方向与重点</w:t>
      </w:r>
    </w:p>
    <w:p>
      <w:pPr>
        <w:spacing w:line="540" w:lineRule="exact"/>
        <w:ind w:firstLine="640" w:firstLineChars="200"/>
        <w:jc w:val="left"/>
        <w:rPr>
          <w:rFonts w:ascii="仿宋" w:hAnsi="仿宋" w:eastAsia="仿宋"/>
          <w:sz w:val="32"/>
          <w:szCs w:val="32"/>
        </w:rPr>
      </w:pPr>
      <w:r>
        <w:rPr>
          <w:rFonts w:hint="eastAsia" w:ascii="仿宋" w:hAnsi="仿宋" w:eastAsia="仿宋" w:cs="仿宋"/>
          <w:color w:val="000000"/>
          <w:sz w:val="32"/>
          <w:szCs w:val="32"/>
        </w:rPr>
        <w:t>1、围绕高效生态、特色精品农业发展方向。重点支持：生态农业科技创新、现代农业装备研发、农业资源高效利用、农副产品深加工技术、种植栽培模式创新、新品种新技术推广应用以及各类农业科技成果转化、农产品质量安全技术研究与推广应用项目；</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2、农业企业实验室建设等农业科技创新体系建设项目；</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3、国家森林城市建设科技支撑项目；</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4、农村信息化、五水共治等技术研究与推广应用项目；</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5、其他推进乡村振兴战略的创新项目。</w:t>
      </w:r>
    </w:p>
    <w:p>
      <w:pPr>
        <w:spacing w:line="540" w:lineRule="exact"/>
        <w:ind w:firstLine="640" w:firstLineChars="200"/>
        <w:jc w:val="left"/>
        <w:rPr>
          <w:rFonts w:cs="仿宋" w:asciiTheme="majorEastAsia" w:hAnsiTheme="majorEastAsia" w:eastAsiaTheme="majorEastAsia"/>
          <w:color w:val="000000"/>
          <w:sz w:val="32"/>
          <w:szCs w:val="32"/>
        </w:rPr>
      </w:pPr>
      <w:r>
        <w:rPr>
          <w:rFonts w:hint="eastAsia" w:cs="仿宋" w:asciiTheme="majorEastAsia" w:hAnsiTheme="majorEastAsia" w:eastAsiaTheme="majorEastAsia"/>
          <w:color w:val="000000"/>
          <w:sz w:val="32"/>
          <w:szCs w:val="32"/>
        </w:rPr>
        <w:t>第三条 立项程序</w:t>
      </w:r>
    </w:p>
    <w:p>
      <w:pPr>
        <w:spacing w:line="540" w:lineRule="exact"/>
        <w:ind w:firstLine="640" w:firstLineChars="200"/>
        <w:jc w:val="left"/>
        <w:rPr>
          <w:rFonts w:ascii="仿宋" w:hAnsi="仿宋" w:eastAsia="仿宋" w:cs="仿宋"/>
          <w:color w:val="000000"/>
          <w:sz w:val="32"/>
          <w:szCs w:val="32"/>
        </w:rPr>
      </w:pPr>
      <w:r>
        <w:rPr>
          <w:rFonts w:hint="eastAsia" w:ascii="仿宋" w:hAnsi="仿宋" w:eastAsia="仿宋"/>
          <w:sz w:val="32"/>
          <w:szCs w:val="32"/>
        </w:rPr>
        <w:t>县级农业科技重点项目立项程序主要包括</w:t>
      </w:r>
      <w:r>
        <w:rPr>
          <w:rFonts w:hint="eastAsia" w:ascii="仿宋" w:hAnsi="仿宋" w:eastAsia="仿宋" w:cs="仿宋"/>
          <w:color w:val="000000"/>
          <w:sz w:val="32"/>
          <w:szCs w:val="32"/>
        </w:rPr>
        <w:t>形式审查、专家实地考察评审、资金投入审计、公示、立项等程序，必要时可召开有关部门联审会征求意见。</w:t>
      </w:r>
    </w:p>
    <w:p>
      <w:pPr>
        <w:spacing w:line="540" w:lineRule="exact"/>
        <w:ind w:firstLine="640" w:firstLineChars="200"/>
        <w:jc w:val="left"/>
        <w:rPr>
          <w:rFonts w:cs="仿宋" w:asciiTheme="majorEastAsia" w:hAnsiTheme="majorEastAsia" w:eastAsiaTheme="majorEastAsia"/>
          <w:color w:val="000000"/>
          <w:sz w:val="32"/>
          <w:szCs w:val="32"/>
        </w:rPr>
      </w:pPr>
      <w:r>
        <w:rPr>
          <w:rFonts w:hint="eastAsia" w:cs="仿宋" w:asciiTheme="majorEastAsia" w:hAnsiTheme="majorEastAsia" w:eastAsiaTheme="majorEastAsia"/>
          <w:color w:val="000000"/>
          <w:sz w:val="32"/>
          <w:szCs w:val="32"/>
        </w:rPr>
        <w:t>第四条  评分方法</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项目评分实行百分制，由专家评审分和审计投入分构成，专家评审分权重为70、审计投入分权重为30。专家评审分由评审专家确定该项目的得分乘以权重取得；审计投入分值的取得：以当年拟立项的全部项目审计认定投入平均数再提高三分之一作为满分基数，投入等于或超过该基数的得30分，其它项目按审计投入数与该基数的比例得分,计算公式:(该项目审计投入数/满分基数)*30）。</w:t>
      </w:r>
    </w:p>
    <w:p>
      <w:pPr>
        <w:spacing w:line="540" w:lineRule="exact"/>
        <w:ind w:firstLine="640" w:firstLineChars="200"/>
        <w:jc w:val="left"/>
        <w:rPr>
          <w:rFonts w:cs="仿宋" w:asciiTheme="majorEastAsia" w:hAnsiTheme="majorEastAsia" w:eastAsiaTheme="majorEastAsia"/>
          <w:color w:val="000000"/>
          <w:sz w:val="32"/>
          <w:szCs w:val="32"/>
        </w:rPr>
      </w:pPr>
      <w:r>
        <w:rPr>
          <w:rFonts w:hint="eastAsia" w:cs="仿宋" w:asciiTheme="majorEastAsia" w:hAnsiTheme="majorEastAsia" w:eastAsiaTheme="majorEastAsia"/>
          <w:color w:val="000000"/>
          <w:sz w:val="32"/>
          <w:szCs w:val="32"/>
        </w:rPr>
        <w:t>第五条  资金支持原则</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全部项目分三档支持，第一档为综合得分排名前2名，且综合得分必须大于或等于85分。第二档按排名取三名，其他均划为第三档。若项目经专家组评审得分低于60分，或综合得分低于60分的不享受资金的支持。</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sz w:val="32"/>
          <w:szCs w:val="32"/>
        </w:rPr>
        <w:t>以当年拟支持资金总额除以项目数所得的平均值为基数，各档项目支持资金数为基数与系数相乘后四舍五入取整数,</w:t>
      </w:r>
      <w:r>
        <w:rPr>
          <w:rFonts w:hint="eastAsia" w:ascii="仿宋" w:hAnsi="仿宋" w:eastAsia="仿宋" w:cs="仿宋"/>
          <w:color w:val="000000"/>
          <w:sz w:val="32"/>
          <w:szCs w:val="32"/>
        </w:rPr>
        <w:t>每个项目支助资金不得超过该项目审计认定投入数的40%。</w:t>
      </w:r>
    </w:p>
    <w:p>
      <w:pPr>
        <w:spacing w:line="540" w:lineRule="exact"/>
        <w:ind w:firstLine="640" w:firstLineChars="200"/>
        <w:rPr>
          <w:rFonts w:ascii="仿宋" w:hAnsi="仿宋" w:eastAsia="仿宋" w:cs="仿宋"/>
          <w:color w:val="000000"/>
          <w:sz w:val="32"/>
          <w:szCs w:val="32"/>
        </w:rPr>
      </w:pPr>
      <w:r>
        <w:rPr>
          <w:rFonts w:hint="eastAsia" w:ascii="仿宋" w:hAnsi="仿宋" w:eastAsia="仿宋"/>
          <w:sz w:val="32"/>
          <w:szCs w:val="32"/>
        </w:rPr>
        <w:t>第一档系数为1.3、第二档系数为1.0、第三档系数为0.8。</w:t>
      </w:r>
    </w:p>
    <w:p>
      <w:pPr>
        <w:spacing w:line="540" w:lineRule="exact"/>
        <w:ind w:firstLine="640" w:firstLineChars="200"/>
        <w:jc w:val="left"/>
        <w:rPr>
          <w:rFonts w:cs="仿宋" w:asciiTheme="majorEastAsia" w:hAnsiTheme="majorEastAsia" w:eastAsiaTheme="majorEastAsia"/>
          <w:color w:val="000000"/>
          <w:sz w:val="32"/>
          <w:szCs w:val="32"/>
        </w:rPr>
      </w:pPr>
      <w:r>
        <w:rPr>
          <w:rFonts w:hint="eastAsia" w:cs="仿宋" w:asciiTheme="majorEastAsia" w:hAnsiTheme="majorEastAsia" w:eastAsiaTheme="majorEastAsia"/>
          <w:color w:val="000000"/>
          <w:sz w:val="32"/>
          <w:szCs w:val="32"/>
        </w:rPr>
        <w:t>第六条  立项</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县农业科技重点项目资金支持方案由县科技局和县财政局共同商定，并报县政府分管领导同意(必要时报县长办公会议审定),由县科技局和县财政局联合发文。</w:t>
      </w:r>
    </w:p>
    <w:p>
      <w:pPr>
        <w:spacing w:line="540" w:lineRule="exact"/>
        <w:ind w:firstLine="640" w:firstLineChars="200"/>
        <w:jc w:val="left"/>
        <w:rPr>
          <w:rFonts w:hint="eastAsia" w:cs="仿宋" w:asciiTheme="majorEastAsia" w:hAnsiTheme="majorEastAsia" w:eastAsiaTheme="majorEastAsia"/>
          <w:color w:val="000000"/>
          <w:sz w:val="32"/>
          <w:szCs w:val="32"/>
        </w:rPr>
      </w:pPr>
      <w:r>
        <w:rPr>
          <w:rFonts w:hint="eastAsia" w:cs="仿宋" w:asciiTheme="majorEastAsia" w:hAnsiTheme="majorEastAsia" w:eastAsiaTheme="majorEastAsia"/>
          <w:color w:val="000000"/>
          <w:sz w:val="32"/>
          <w:szCs w:val="32"/>
        </w:rPr>
        <w:t>第七条  该办法由县科技局负责解释。</w:t>
      </w: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jc w:val="right"/>
        <w:rPr>
          <w:rFonts w:hint="eastAsia" w:cs="仿宋" w:asciiTheme="majorEastAsia" w:hAnsiTheme="majorEastAsia" w:eastAsiaTheme="majorEastAsia"/>
          <w:color w:val="000000"/>
          <w:kern w:val="2"/>
          <w:sz w:val="32"/>
          <w:szCs w:val="32"/>
          <w:lang w:val="en-US" w:eastAsia="zh-CN" w:bidi="ar-SA"/>
        </w:rPr>
      </w:pPr>
    </w:p>
    <w:p>
      <w:pPr>
        <w:jc w:val="right"/>
        <w:rPr>
          <w:rFonts w:hint="eastAsia" w:cs="仿宋" w:asciiTheme="majorEastAsia" w:hAnsiTheme="majorEastAsia" w:eastAsiaTheme="majorEastAsia"/>
          <w:color w:val="000000"/>
          <w:kern w:val="2"/>
          <w:sz w:val="32"/>
          <w:szCs w:val="32"/>
          <w:lang w:val="en-US" w:eastAsia="zh-CN" w:bidi="ar-SA"/>
        </w:rPr>
      </w:pPr>
      <w:r>
        <w:rPr>
          <w:rFonts w:hint="eastAsia" w:ascii="仿宋_GB2312" w:eastAsia="仿宋_GB2312"/>
          <w:kern w:val="0"/>
          <w:sz w:val="28"/>
          <w:szCs w:val="28"/>
          <w:lang w:eastAsia="zh-CN"/>
        </w:rPr>
        <w:t>天台县科学技术局</w:t>
      </w:r>
    </w:p>
    <w:p>
      <w:pPr>
        <w:jc w:val="right"/>
        <w:rPr>
          <w:rFonts w:hint="eastAsia" w:cs="仿宋" w:asciiTheme="majorEastAsia" w:hAnsiTheme="majorEastAsia" w:eastAsiaTheme="majorEastAsia"/>
          <w:color w:val="000000"/>
          <w:kern w:val="2"/>
          <w:sz w:val="32"/>
          <w:szCs w:val="32"/>
          <w:lang w:val="en-US" w:eastAsia="zh-CN" w:bidi="ar-SA"/>
        </w:rPr>
      </w:pPr>
    </w:p>
    <w:p>
      <w:pPr>
        <w:jc w:val="right"/>
        <w:rPr>
          <w:rFonts w:hint="eastAsia" w:cs="仿宋" w:asciiTheme="majorEastAsia" w:hAnsiTheme="majorEastAsia" w:eastAsiaTheme="majorEastAsia"/>
          <w:color w:val="000000"/>
          <w:kern w:val="2"/>
          <w:sz w:val="32"/>
          <w:szCs w:val="32"/>
          <w:lang w:val="en-US" w:eastAsia="zh-CN" w:bidi="ar-SA"/>
        </w:rPr>
      </w:pPr>
      <w:r>
        <w:rPr>
          <w:rFonts w:hint="eastAsia" w:ascii="仿宋_GB2312" w:eastAsia="仿宋_GB2312"/>
          <w:kern w:val="0"/>
          <w:sz w:val="28"/>
          <w:szCs w:val="28"/>
        </w:rPr>
        <w:t>2019年1月2</w:t>
      </w:r>
      <w:r>
        <w:rPr>
          <w:rFonts w:hint="eastAsia" w:ascii="仿宋_GB2312" w:eastAsia="仿宋_GB2312"/>
          <w:kern w:val="0"/>
          <w:sz w:val="28"/>
          <w:szCs w:val="28"/>
          <w:lang w:val="en-US" w:eastAsia="zh-CN"/>
        </w:rPr>
        <w:t>2</w:t>
      </w:r>
      <w:r>
        <w:rPr>
          <w:rFonts w:hint="eastAsia" w:ascii="仿宋_GB2312" w:eastAsia="仿宋_GB2312"/>
          <w:kern w:val="0"/>
          <w:sz w:val="28"/>
          <w:szCs w:val="28"/>
        </w:rPr>
        <w:t>日</w:t>
      </w: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bookmarkStart w:id="1" w:name="_GoBack"/>
      <w:bookmarkEnd w:id="1"/>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rPr>
          <w:rFonts w:hint="eastAsia" w:cs="仿宋" w:asciiTheme="majorEastAsia" w:hAnsiTheme="majorEastAsia" w:eastAsiaTheme="majorEastAsia"/>
          <w:color w:val="000000"/>
          <w:kern w:val="2"/>
          <w:sz w:val="32"/>
          <w:szCs w:val="32"/>
          <w:lang w:val="en-US" w:eastAsia="zh-CN" w:bidi="ar-SA"/>
        </w:rPr>
      </w:pPr>
    </w:p>
    <w:p>
      <w:pPr>
        <w:spacing w:line="500" w:lineRule="exact"/>
        <w:rPr>
          <w:rFonts w:hint="eastAsia" w:ascii="仿宋_GB2312" w:eastAsia="仿宋_GB2312"/>
          <w:sz w:val="32"/>
          <w:szCs w:val="32"/>
        </w:rPr>
      </w:pPr>
    </w:p>
    <w:p>
      <w:pPr>
        <w:spacing w:line="620" w:lineRule="exact"/>
      </w:pPr>
      <w:r>
        <w:rPr>
          <w:rFonts w:hint="eastAsia" w:ascii="仿宋_GB2312" w:eastAsia="仿宋_GB2312"/>
          <w:kern w:val="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50800</wp:posOffset>
                </wp:positionV>
                <wp:extent cx="568769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4pt;height:0pt;width:447.85pt;mso-position-horizontal:center;z-index:251660288;mso-width-relative:page;mso-height-relative:page;" filled="f" stroked="t" coordsize="21600,21600" o:gfxdata="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HzjU9MAAAAEAQAADwAAAAAAAAABACAAAAAiAAAAZHJzL2Rvd25yZXYueG1sUEsB&#10;AhQAFAAAAAgAh07iQDxl2Sb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eastAsia="仿宋_GB2312"/>
          <w:kern w:val="0"/>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447040</wp:posOffset>
                </wp:positionV>
                <wp:extent cx="568769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35.2pt;height:0pt;width:447.85pt;mso-position-horizontal:center;z-index:251659264;mso-width-relative:page;mso-height-relative:page;" filled="f" stroked="t" coordsize="21600,21600" o:gfxdata="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Rb6g1QAAAAYBAAAPAAAAAAAAAAEAIAAAACIAAABkcnMvZG93bnJldi54bWxQ&#10;SwECFAAUAAAACACHTuJAk1FKhPoBAADyAwAADgAAAAAAAAABACAAAAAkAQAAZHJzL2Uyb0RvYy54&#10;bWxQSwUGAAAAAAYABgBZAQAAkAUAAAAA&#10;">
                <v:fill on="f" focussize="0,0"/>
                <v:stroke color="#000000" joinstyle="round"/>
                <v:imagedata o:title=""/>
                <o:lock v:ext="edit" aspectratio="f"/>
              </v:line>
            </w:pict>
          </mc:Fallback>
        </mc:AlternateContent>
      </w:r>
      <w:r>
        <w:rPr>
          <w:rFonts w:hint="eastAsia" w:ascii="仿宋_GB2312" w:eastAsia="仿宋_GB2312"/>
          <w:kern w:val="0"/>
          <w:sz w:val="28"/>
          <w:szCs w:val="28"/>
          <w:lang w:eastAsia="zh-CN"/>
        </w:rPr>
        <w:t>天台县科学技术局</w:t>
      </w:r>
      <w:r>
        <w:rPr>
          <w:rFonts w:hint="eastAsia" w:ascii="仿宋_GB2312" w:eastAsia="仿宋_GB2312"/>
          <w:kern w:val="0"/>
          <w:sz w:val="28"/>
          <w:szCs w:val="28"/>
        </w:rPr>
        <w:t>办公室                2019年1月2</w:t>
      </w:r>
      <w:r>
        <w:rPr>
          <w:rFonts w:hint="eastAsia" w:ascii="仿宋_GB2312" w:eastAsia="仿宋_GB2312"/>
          <w:kern w:val="0"/>
          <w:sz w:val="28"/>
          <w:szCs w:val="28"/>
          <w:lang w:val="en-US" w:eastAsia="zh-CN"/>
        </w:rPr>
        <w:t>2</w:t>
      </w:r>
      <w:r>
        <w:rPr>
          <w:rFonts w:hint="eastAsia" w:ascii="仿宋_GB2312" w:eastAsia="仿宋_GB2312"/>
          <w:kern w:val="0"/>
          <w:sz w:val="28"/>
          <w:szCs w:val="28"/>
        </w:rPr>
        <w:t>日印发</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1365C"/>
    <w:rsid w:val="09A1365C"/>
    <w:rsid w:val="0B621A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0" w:lineRule="exac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2019-01-22T08:05:00Z</dcterms:created>
  <dc:creator>^生姜^……</dc:creator>
  <cp:lastModifiedBy>^生姜^……</cp:lastModifiedBy>
  <dcterms:modified xsi:type="dcterms:W3CDTF">2021-08-16T06:56:36Z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AD22DC4812244E9EBAF7C843B70AD0CB</vt:lpwstr>
  </property>
</Properties>
</file>