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方正小标宋简体"/>
          <w:color w:val="000000"/>
          <w:sz w:val="44"/>
          <w:szCs w:val="44"/>
        </w:rPr>
      </w:pPr>
      <w:r>
        <w:rPr>
          <w:rFonts w:hint="eastAsia" w:ascii="方正小标宋简体" w:hAnsi="Arial" w:eastAsia="方正小标宋简体" w:cs="Arial"/>
          <w:bCs/>
          <w:color w:val="000000"/>
          <w:kern w:val="0"/>
          <w:sz w:val="44"/>
          <w:szCs w:val="44"/>
          <w:lang w:eastAsia="zh-CN"/>
        </w:rPr>
        <w:t>《天台县人民</w:t>
      </w:r>
      <w:r>
        <w:rPr>
          <w:rFonts w:hint="eastAsia" w:ascii="方正小标宋简体" w:hAnsi="Arial" w:eastAsia="方正小标宋简体" w:cs="Arial"/>
          <w:bCs/>
          <w:color w:val="000000"/>
          <w:kern w:val="0"/>
          <w:sz w:val="44"/>
          <w:szCs w:val="44"/>
        </w:rPr>
        <w:t>政府质量奖评审管理实施细则</w:t>
      </w:r>
      <w:r>
        <w:rPr>
          <w:rFonts w:hint="eastAsia" w:ascii="方正小标宋简体" w:hAnsi="Arial" w:eastAsia="方正小标宋简体" w:cs="Arial"/>
          <w:bCs/>
          <w:color w:val="000000"/>
          <w:kern w:val="0"/>
          <w:sz w:val="44"/>
          <w:szCs w:val="44"/>
          <w:lang w:eastAsia="zh-CN"/>
        </w:rPr>
        <w:t>（</w:t>
      </w:r>
      <w:r>
        <w:rPr>
          <w:rFonts w:hint="eastAsia" w:ascii="方正小标宋简体" w:hAnsi="Arial" w:eastAsia="方正小标宋简体" w:cs="Arial"/>
          <w:bCs/>
          <w:color w:val="000000"/>
          <w:kern w:val="0"/>
          <w:sz w:val="44"/>
          <w:szCs w:val="44"/>
          <w:lang w:val="en-US" w:eastAsia="zh-CN"/>
        </w:rPr>
        <w:t>2022年修订</w:t>
      </w:r>
      <w:r>
        <w:rPr>
          <w:rFonts w:hint="eastAsia" w:ascii="方正小标宋简体" w:hAnsi="Arial" w:eastAsia="方正小标宋简体" w:cs="Arial"/>
          <w:bCs/>
          <w:color w:val="000000"/>
          <w:kern w:val="0"/>
          <w:sz w:val="44"/>
          <w:szCs w:val="44"/>
          <w:lang w:eastAsia="zh-CN"/>
        </w:rPr>
        <w:t>）》</w:t>
      </w:r>
      <w:r>
        <w:rPr>
          <w:rFonts w:hint="eastAsia" w:ascii="方正小标宋简体" w:hAnsi="宋体" w:eastAsia="方正小标宋简体" w:cs="方正小标宋简体"/>
          <w:color w:val="000000"/>
          <w:sz w:val="44"/>
          <w:szCs w:val="44"/>
        </w:rPr>
        <w:t>编制情况说明</w:t>
      </w:r>
    </w:p>
    <w:p>
      <w:pPr>
        <w:ind w:firstLine="320" w:firstLineChars="100"/>
        <w:rPr>
          <w:rFonts w:hint="eastAsia" w:ascii="仿宋_GB2312" w:hAnsi="宋体" w:eastAsia="仿宋_GB2312"/>
          <w:sz w:val="32"/>
          <w:szCs w:val="32"/>
        </w:rPr>
      </w:pPr>
    </w:p>
    <w:p>
      <w:pPr>
        <w:ind w:firstLine="320" w:firstLineChars="100"/>
        <w:rPr>
          <w:rFonts w:hint="eastAsia" w:ascii="仿宋_GB2312" w:hAnsi="宋体" w:eastAsia="仿宋_GB2312"/>
          <w:sz w:val="32"/>
          <w:szCs w:val="32"/>
        </w:rPr>
      </w:pPr>
    </w:p>
    <w:p>
      <w:pPr>
        <w:numPr>
          <w:ilvl w:val="0"/>
          <w:numId w:val="0"/>
        </w:numPr>
        <w:spacing w:line="560" w:lineRule="exact"/>
        <w:ind w:leftChars="200" w:firstLine="320" w:firstLineChars="1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一、起草背景与过程</w:t>
      </w:r>
    </w:p>
    <w:p>
      <w:pPr>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rPr>
        <w:t>为积极引导企业导入卓越绩效管理模式，提升质量管理水平，</w:t>
      </w:r>
      <w:r>
        <w:rPr>
          <w:rFonts w:hint="eastAsia" w:ascii="仿宋_GB2312" w:hAnsi="宋体" w:eastAsia="仿宋_GB2312"/>
          <w:sz w:val="32"/>
          <w:szCs w:val="32"/>
          <w:lang w:val="en-US" w:eastAsia="zh-CN"/>
        </w:rPr>
        <w:t>进一步</w:t>
      </w:r>
      <w:r>
        <w:rPr>
          <w:rFonts w:hint="eastAsia" w:ascii="仿宋_GB2312" w:hAnsi="宋体" w:eastAsia="仿宋_GB2312"/>
          <w:sz w:val="32"/>
          <w:szCs w:val="32"/>
        </w:rPr>
        <w:t>激发质量奖创奖积极性，</w:t>
      </w:r>
      <w:r>
        <w:rPr>
          <w:rFonts w:hint="eastAsia" w:ascii="仿宋_GB2312" w:hAnsi="宋体" w:eastAsia="仿宋_GB2312"/>
          <w:sz w:val="32"/>
          <w:szCs w:val="32"/>
          <w:lang w:val="en-US" w:eastAsia="zh-CN"/>
        </w:rPr>
        <w:t>组织修订</w:t>
      </w:r>
      <w:r>
        <w:rPr>
          <w:rFonts w:hint="eastAsia" w:ascii="仿宋_GB2312" w:hAnsi="宋体" w:eastAsia="仿宋_GB2312"/>
          <w:sz w:val="32"/>
          <w:szCs w:val="32"/>
        </w:rPr>
        <w:t>《</w:t>
      </w:r>
      <w:r>
        <w:rPr>
          <w:rFonts w:hint="eastAsia" w:ascii="仿宋_GB2312" w:hAnsi="宋体" w:eastAsia="仿宋_GB2312"/>
          <w:sz w:val="32"/>
          <w:szCs w:val="32"/>
          <w:lang w:eastAsia="zh-CN"/>
        </w:rPr>
        <w:t>天台县人民</w:t>
      </w:r>
      <w:r>
        <w:rPr>
          <w:rFonts w:hint="eastAsia" w:ascii="仿宋_GB2312" w:hAnsi="宋体" w:eastAsia="仿宋_GB2312"/>
          <w:sz w:val="32"/>
          <w:szCs w:val="32"/>
        </w:rPr>
        <w:t>政府质量奖</w:t>
      </w:r>
      <w:r>
        <w:rPr>
          <w:rFonts w:hint="eastAsia" w:ascii="仿宋_GB2312" w:hAnsi="宋体" w:eastAsia="仿宋_GB2312"/>
          <w:sz w:val="32"/>
          <w:szCs w:val="32"/>
          <w:lang w:eastAsia="zh-CN"/>
        </w:rPr>
        <w:t>评审</w:t>
      </w:r>
      <w:r>
        <w:rPr>
          <w:rFonts w:hint="eastAsia" w:ascii="仿宋_GB2312" w:hAnsi="宋体" w:eastAsia="仿宋_GB2312"/>
          <w:sz w:val="32"/>
          <w:szCs w:val="32"/>
        </w:rPr>
        <w:t>管理办法</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并于2022年12月21日正式发布。</w:t>
      </w:r>
      <w:r>
        <w:rPr>
          <w:rFonts w:hint="eastAsia" w:ascii="仿宋_GB2312" w:hAnsi="仿宋" w:eastAsia="仿宋_GB2312"/>
          <w:sz w:val="32"/>
          <w:szCs w:val="32"/>
        </w:rPr>
        <w:t>为进一步规范</w:t>
      </w:r>
      <w:r>
        <w:rPr>
          <w:rFonts w:hint="eastAsia" w:ascii="仿宋_GB2312" w:hAnsi="仿宋" w:eastAsia="仿宋_GB2312"/>
          <w:sz w:val="32"/>
          <w:szCs w:val="32"/>
          <w:lang w:eastAsia="zh-CN"/>
        </w:rPr>
        <w:t>天台县人民</w:t>
      </w:r>
      <w:r>
        <w:rPr>
          <w:rFonts w:hint="eastAsia" w:ascii="仿宋_GB2312" w:hAnsi="仿宋" w:eastAsia="仿宋_GB2312"/>
          <w:sz w:val="32"/>
          <w:szCs w:val="32"/>
        </w:rPr>
        <w:t>政府质量奖评审和管理工作，根据《</w:t>
      </w:r>
      <w:r>
        <w:rPr>
          <w:rFonts w:hint="eastAsia" w:ascii="仿宋_GB2312" w:hAnsi="仿宋" w:eastAsia="仿宋_GB2312"/>
          <w:sz w:val="32"/>
          <w:szCs w:val="32"/>
          <w:lang w:eastAsia="zh-CN"/>
        </w:rPr>
        <w:t>天台县人民</w:t>
      </w:r>
      <w:r>
        <w:rPr>
          <w:rFonts w:hint="eastAsia" w:ascii="仿宋_GB2312" w:hAnsi="仿宋" w:eastAsia="仿宋_GB2312"/>
          <w:sz w:val="32"/>
          <w:szCs w:val="32"/>
        </w:rPr>
        <w:t>政府质量奖</w:t>
      </w:r>
      <w:r>
        <w:rPr>
          <w:rFonts w:hint="eastAsia" w:ascii="仿宋_GB2312" w:hAnsi="仿宋" w:eastAsia="仿宋_GB2312"/>
          <w:sz w:val="32"/>
          <w:szCs w:val="32"/>
          <w:lang w:eastAsia="zh-CN"/>
        </w:rPr>
        <w:t>评审</w:t>
      </w:r>
      <w:r>
        <w:rPr>
          <w:rFonts w:hint="eastAsia" w:ascii="仿宋_GB2312" w:hAnsi="仿宋" w:eastAsia="仿宋_GB2312"/>
          <w:sz w:val="32"/>
          <w:szCs w:val="32"/>
        </w:rPr>
        <w:t>管理办法（202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年修订）》（</w:t>
      </w:r>
      <w:r>
        <w:rPr>
          <w:rFonts w:hint="eastAsia" w:ascii="仿宋_GB2312" w:hAnsi="仿宋" w:eastAsia="仿宋_GB2312"/>
          <w:sz w:val="32"/>
          <w:szCs w:val="32"/>
          <w:lang w:eastAsia="zh-CN"/>
        </w:rPr>
        <w:t>天</w:t>
      </w:r>
      <w:r>
        <w:rPr>
          <w:rFonts w:hint="eastAsia" w:ascii="仿宋_GB2312" w:hAnsi="仿宋" w:eastAsia="仿宋_GB2312"/>
          <w:sz w:val="32"/>
          <w:szCs w:val="32"/>
        </w:rPr>
        <w:t>政办发〔202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val="en-US" w:eastAsia="zh-CN"/>
        </w:rPr>
        <w:t>71</w:t>
      </w:r>
      <w:r>
        <w:rPr>
          <w:rFonts w:hint="eastAsia" w:ascii="仿宋_GB2312" w:hAnsi="仿宋" w:eastAsia="仿宋_GB2312"/>
          <w:sz w:val="32"/>
          <w:szCs w:val="32"/>
        </w:rPr>
        <w:t>号）规定，</w:t>
      </w:r>
      <w:r>
        <w:rPr>
          <w:rFonts w:hint="eastAsia" w:ascii="仿宋_GB2312" w:hAnsi="宋体" w:eastAsia="仿宋_GB2312"/>
          <w:sz w:val="32"/>
          <w:szCs w:val="32"/>
          <w:lang w:eastAsia="zh-CN"/>
        </w:rPr>
        <w:t>结合天台实际，</w:t>
      </w:r>
      <w:r>
        <w:rPr>
          <w:rFonts w:hint="eastAsia" w:ascii="仿宋_GB2312" w:hAnsi="宋体" w:eastAsia="仿宋_GB2312"/>
          <w:sz w:val="32"/>
          <w:szCs w:val="32"/>
          <w:lang w:val="en-US" w:eastAsia="zh-CN"/>
        </w:rPr>
        <w:t>同步启动《天台县人民政府质量奖评审管理实施细则》（以下简称《细则》）修订工作，现已形成初稿。</w:t>
      </w:r>
    </w:p>
    <w:p>
      <w:pPr>
        <w:numPr>
          <w:ilvl w:val="0"/>
          <w:numId w:val="0"/>
        </w:numPr>
        <w:spacing w:line="560" w:lineRule="exact"/>
        <w:ind w:leftChars="200" w:firstLine="320" w:firstLineChars="100"/>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二、主要内容</w:t>
      </w:r>
    </w:p>
    <w:p>
      <w:pPr>
        <w:pStyle w:val="2"/>
        <w:numPr>
          <w:ilvl w:val="0"/>
          <w:numId w:val="0"/>
        </w:numPr>
        <w:ind w:firstLine="640" w:firstLineChars="200"/>
        <w:rPr>
          <w:rFonts w:hint="default" w:ascii="仿宋_GB2312" w:hAnsi="宋体" w:eastAsia="仿宋_GB2312"/>
          <w:b w:val="0"/>
          <w:bCs w:val="0"/>
          <w:sz w:val="32"/>
          <w:szCs w:val="32"/>
          <w:lang w:val="en-US" w:eastAsia="zh-CN"/>
        </w:rPr>
      </w:pPr>
      <w:r>
        <w:rPr>
          <w:rFonts w:hint="eastAsia" w:ascii="仿宋_GB2312" w:hAnsi="宋体" w:eastAsia="仿宋_GB2312"/>
          <w:b w:val="0"/>
          <w:bCs w:val="0"/>
          <w:sz w:val="32"/>
          <w:szCs w:val="32"/>
          <w:lang w:val="en-US" w:eastAsia="zh-CN"/>
        </w:rPr>
        <w:t>《细则》主要由评审依据及标准、申报程序、监督管理、标识管理和附则等五大部分组成，规范并细化了天台县人民政府质量奖的评审工作的操作流程和事中事后的监督管理工作。</w:t>
      </w:r>
    </w:p>
    <w:p>
      <w:pPr>
        <w:numPr>
          <w:ilvl w:val="0"/>
          <w:numId w:val="1"/>
        </w:numPr>
        <w:spacing w:line="560" w:lineRule="exact"/>
        <w:ind w:left="0" w:leftChars="0"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评审依据及标准</w:t>
      </w:r>
    </w:p>
    <w:p>
      <w:pPr>
        <w:pStyle w:val="2"/>
        <w:numPr>
          <w:ilvl w:val="0"/>
          <w:numId w:val="0"/>
        </w:numPr>
        <w:ind w:firstLine="640" w:firstLineChars="200"/>
        <w:rPr>
          <w:rFonts w:hint="default" w:ascii="仿宋_GB2312" w:hAnsi="宋体" w:eastAsia="仿宋_GB2312" w:cs="Times New Roman"/>
          <w:b w:val="0"/>
          <w:bCs w:val="0"/>
          <w:sz w:val="32"/>
          <w:szCs w:val="32"/>
          <w:lang w:val="en-US" w:eastAsia="zh-CN"/>
        </w:rPr>
      </w:pPr>
      <w:r>
        <w:rPr>
          <w:rFonts w:hint="eastAsia" w:ascii="仿宋_GB2312" w:hAnsi="宋体" w:eastAsia="仿宋_GB2312" w:cs="Times New Roman"/>
          <w:b w:val="0"/>
          <w:bCs w:val="0"/>
          <w:sz w:val="32"/>
          <w:szCs w:val="32"/>
          <w:lang w:val="en-US" w:eastAsia="zh-CN"/>
        </w:rPr>
        <w:t>明确天台县人民政府质量奖的评审依据和标准。</w:t>
      </w:r>
    </w:p>
    <w:p>
      <w:pPr>
        <w:numPr>
          <w:ilvl w:val="0"/>
          <w:numId w:val="1"/>
        </w:numPr>
        <w:spacing w:line="56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申报程序</w:t>
      </w:r>
    </w:p>
    <w:p>
      <w:pPr>
        <w:spacing w:line="560" w:lineRule="exact"/>
        <w:ind w:firstLine="640" w:firstLineChars="200"/>
        <w:rPr>
          <w:rFonts w:hint="eastAsia" w:ascii="仿宋_GB2312" w:hAnsi="宋体" w:eastAsia="仿宋_GB2312" w:cs="Times New Roman"/>
          <w:b w:val="0"/>
          <w:bCs w:val="0"/>
          <w:kern w:val="2"/>
          <w:sz w:val="32"/>
          <w:szCs w:val="32"/>
          <w:lang w:val="en-US" w:eastAsia="zh-CN" w:bidi="ar-SA"/>
        </w:rPr>
      </w:pPr>
      <w:r>
        <w:rPr>
          <w:rFonts w:hint="eastAsia" w:ascii="仿宋_GB2312" w:hAnsi="宋体" w:eastAsia="仿宋_GB2312" w:cs="Times New Roman"/>
          <w:b w:val="0"/>
          <w:bCs w:val="0"/>
          <w:kern w:val="2"/>
          <w:sz w:val="32"/>
          <w:szCs w:val="32"/>
          <w:lang w:val="en-US" w:eastAsia="zh-CN" w:bidi="ar-SA"/>
        </w:rPr>
        <w:t>进一步明确了申报程序，规定发布通告、组织申报、资格审查等十项工作流程，其中：</w:t>
      </w:r>
    </w:p>
    <w:p>
      <w:pPr>
        <w:numPr>
          <w:ilvl w:val="0"/>
          <w:numId w:val="2"/>
        </w:numPr>
        <w:spacing w:line="560" w:lineRule="exact"/>
        <w:ind w:firstLine="643" w:firstLineChars="200"/>
        <w:rPr>
          <w:rFonts w:hint="eastAsia" w:ascii="仿宋_GB2312" w:hAnsi="宋体" w:eastAsia="仿宋_GB2312" w:cs="Times New Roman"/>
          <w:b w:val="0"/>
          <w:bCs w:val="0"/>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组织申报。</w:t>
      </w:r>
      <w:r>
        <w:rPr>
          <w:rFonts w:hint="eastAsia" w:ascii="仿宋_GB2312" w:hAnsi="宋体" w:eastAsia="仿宋_GB2312" w:cs="Times New Roman"/>
          <w:b w:val="0"/>
          <w:bCs w:val="0"/>
          <w:kern w:val="2"/>
          <w:sz w:val="32"/>
          <w:szCs w:val="32"/>
          <w:lang w:val="en-US" w:eastAsia="zh-CN" w:bidi="ar-SA"/>
        </w:rPr>
        <w:t>规定申报原则、申报对象、申报条件、申报材料和组织推荐等要求。</w:t>
      </w:r>
    </w:p>
    <w:p>
      <w:pPr>
        <w:numPr>
          <w:ilvl w:val="0"/>
          <w:numId w:val="2"/>
        </w:numPr>
        <w:spacing w:line="560" w:lineRule="exact"/>
        <w:ind w:firstLine="643" w:firstLineChars="200"/>
        <w:rPr>
          <w:rFonts w:hint="eastAsia" w:ascii="仿宋_GB2312" w:hAnsi="宋体" w:eastAsia="仿宋_GB2312" w:cs="Times New Roman"/>
          <w:b w:val="0"/>
          <w:bCs w:val="0"/>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资格审查。</w:t>
      </w:r>
      <w:r>
        <w:rPr>
          <w:rFonts w:hint="eastAsia" w:ascii="仿宋_GB2312" w:hAnsi="宋体" w:eastAsia="仿宋_GB2312" w:cs="Times New Roman"/>
          <w:b w:val="0"/>
          <w:bCs w:val="0"/>
          <w:kern w:val="2"/>
          <w:sz w:val="32"/>
          <w:szCs w:val="32"/>
          <w:lang w:val="en-US" w:eastAsia="zh-CN" w:bidi="ar-SA"/>
        </w:rPr>
        <w:t>规定这个审查的操作流程。</w:t>
      </w:r>
    </w:p>
    <w:p>
      <w:pPr>
        <w:numPr>
          <w:ilvl w:val="0"/>
          <w:numId w:val="2"/>
        </w:numPr>
        <w:spacing w:line="560" w:lineRule="exact"/>
        <w:ind w:firstLine="643" w:firstLineChars="200"/>
        <w:rPr>
          <w:rFonts w:hint="eastAsia" w:ascii="仿宋_GB2312" w:hAnsi="宋体" w:eastAsia="仿宋_GB2312" w:cs="Times New Roman"/>
          <w:b w:val="0"/>
          <w:bCs w:val="0"/>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资料评审。</w:t>
      </w:r>
      <w:r>
        <w:rPr>
          <w:rFonts w:hint="eastAsia" w:ascii="仿宋_GB2312" w:hAnsi="宋体" w:eastAsia="仿宋_GB2312" w:cs="Times New Roman"/>
          <w:b w:val="0"/>
          <w:bCs w:val="0"/>
          <w:kern w:val="2"/>
          <w:sz w:val="32"/>
          <w:szCs w:val="32"/>
          <w:lang w:val="en-US" w:eastAsia="zh-CN" w:bidi="ar-SA"/>
        </w:rPr>
        <w:t>规定评审组的组成形式以及资料评审的具体方式。</w:t>
      </w:r>
    </w:p>
    <w:p>
      <w:pPr>
        <w:numPr>
          <w:ilvl w:val="0"/>
          <w:numId w:val="2"/>
        </w:numPr>
        <w:spacing w:line="560" w:lineRule="exact"/>
        <w:ind w:firstLine="643" w:firstLineChars="200"/>
        <w:rPr>
          <w:rFonts w:hint="eastAsia" w:ascii="仿宋_GB2312" w:hAnsi="宋体" w:eastAsia="仿宋_GB2312" w:cs="Times New Roman"/>
          <w:b w:val="0"/>
          <w:bCs w:val="0"/>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现场评审。</w:t>
      </w:r>
      <w:r>
        <w:rPr>
          <w:rFonts w:hint="eastAsia" w:ascii="仿宋_GB2312" w:hAnsi="宋体" w:eastAsia="仿宋_GB2312" w:cs="Times New Roman"/>
          <w:b w:val="0"/>
          <w:bCs w:val="0"/>
          <w:kern w:val="2"/>
          <w:sz w:val="32"/>
          <w:szCs w:val="32"/>
          <w:lang w:val="en-US" w:eastAsia="zh-CN" w:bidi="ar-SA"/>
        </w:rPr>
        <w:t>规定现场评审组的组建方式以及相关评审程序。</w:t>
      </w:r>
    </w:p>
    <w:p>
      <w:pPr>
        <w:numPr>
          <w:ilvl w:val="0"/>
          <w:numId w:val="2"/>
        </w:numPr>
        <w:spacing w:line="560" w:lineRule="exact"/>
        <w:ind w:firstLine="643" w:firstLineChars="200"/>
        <w:rPr>
          <w:rFonts w:hint="eastAsia" w:ascii="仿宋_GB2312" w:hAnsi="宋体" w:eastAsia="仿宋_GB2312" w:cs="Times New Roman"/>
          <w:b w:val="0"/>
          <w:bCs w:val="0"/>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综合评价。</w:t>
      </w:r>
      <w:r>
        <w:rPr>
          <w:rFonts w:hint="eastAsia" w:ascii="仿宋_GB2312" w:hAnsi="宋体" w:eastAsia="仿宋_GB2312" w:cs="Times New Roman"/>
          <w:b w:val="0"/>
          <w:bCs w:val="0"/>
          <w:kern w:val="2"/>
          <w:sz w:val="32"/>
          <w:szCs w:val="32"/>
          <w:lang w:val="en-US" w:eastAsia="zh-CN" w:bidi="ar-SA"/>
        </w:rPr>
        <w:t>规定天台县人民政府质量奖提请审议候选名单的产生规则。</w:t>
      </w:r>
    </w:p>
    <w:p>
      <w:pPr>
        <w:numPr>
          <w:ilvl w:val="0"/>
          <w:numId w:val="2"/>
        </w:numPr>
        <w:spacing w:line="560" w:lineRule="exact"/>
        <w:ind w:firstLine="643" w:firstLineChars="200"/>
        <w:rPr>
          <w:rFonts w:hint="default" w:ascii="仿宋_GB2312" w:hAnsi="宋体" w:eastAsia="仿宋_GB2312" w:cs="Times New Roman"/>
          <w:b w:val="0"/>
          <w:bCs w:val="0"/>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审查表决。</w:t>
      </w:r>
      <w:r>
        <w:rPr>
          <w:rFonts w:hint="eastAsia" w:ascii="仿宋_GB2312" w:hAnsi="宋体" w:eastAsia="仿宋_GB2312" w:cs="Times New Roman"/>
          <w:b w:val="0"/>
          <w:bCs w:val="0"/>
          <w:kern w:val="2"/>
          <w:sz w:val="32"/>
          <w:szCs w:val="32"/>
          <w:lang w:val="en-US" w:eastAsia="zh-CN" w:bidi="ar-SA"/>
        </w:rPr>
        <w:t>规定评审会议审查规则。</w:t>
      </w:r>
    </w:p>
    <w:p>
      <w:pPr>
        <w:numPr>
          <w:ilvl w:val="0"/>
          <w:numId w:val="2"/>
        </w:numPr>
        <w:spacing w:line="560" w:lineRule="exact"/>
        <w:ind w:firstLine="643" w:firstLineChars="200"/>
        <w:rPr>
          <w:rFonts w:hint="eastAsia" w:ascii="黑体" w:hAnsi="黑体" w:eastAsia="黑体" w:cs="Times New Roman"/>
          <w:sz w:val="32"/>
          <w:szCs w:val="32"/>
        </w:rPr>
      </w:pPr>
      <w:r>
        <w:rPr>
          <w:rFonts w:hint="eastAsia" w:ascii="仿宋_GB2312" w:hAnsi="宋体" w:eastAsia="仿宋_GB2312" w:cs="Times New Roman"/>
          <w:b/>
          <w:bCs/>
          <w:kern w:val="2"/>
          <w:sz w:val="32"/>
          <w:szCs w:val="32"/>
          <w:lang w:val="en-US" w:eastAsia="zh-CN" w:bidi="ar-SA"/>
        </w:rPr>
        <w:t>初选公示、审定批准、发文奖励。</w:t>
      </w:r>
      <w:r>
        <w:rPr>
          <w:rFonts w:hint="eastAsia" w:ascii="仿宋_GB2312" w:hAnsi="宋体" w:eastAsia="仿宋_GB2312" w:cs="Times New Roman"/>
          <w:b w:val="0"/>
          <w:bCs w:val="0"/>
          <w:kern w:val="2"/>
          <w:sz w:val="32"/>
          <w:szCs w:val="32"/>
          <w:lang w:val="en-US" w:eastAsia="zh-CN" w:bidi="ar-SA"/>
        </w:rPr>
        <w:t>规定相应环节的操作流程。</w:t>
      </w:r>
    </w:p>
    <w:p>
      <w:pPr>
        <w:numPr>
          <w:ilvl w:val="0"/>
          <w:numId w:val="0"/>
        </w:numPr>
        <w:spacing w:line="560" w:lineRule="exact"/>
        <w:ind w:leftChars="200" w:firstLine="320" w:firstLineChars="1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（三）监督管理</w:t>
      </w:r>
    </w:p>
    <w:p>
      <w:pPr>
        <w:numPr>
          <w:ilvl w:val="0"/>
          <w:numId w:val="0"/>
        </w:numPr>
        <w:spacing w:line="560" w:lineRule="exact"/>
        <w:ind w:firstLine="640" w:firstLineChars="200"/>
        <w:rPr>
          <w:rFonts w:hint="eastAsia" w:ascii="仿宋_GB2312" w:hAnsi="宋体" w:eastAsia="仿宋_GB2312" w:cs="Times New Roman"/>
          <w:b w:val="0"/>
          <w:bCs w:val="0"/>
          <w:kern w:val="2"/>
          <w:sz w:val="32"/>
          <w:szCs w:val="32"/>
          <w:lang w:val="en-US" w:eastAsia="zh-CN" w:bidi="ar-SA"/>
        </w:rPr>
      </w:pPr>
      <w:r>
        <w:rPr>
          <w:rFonts w:hint="eastAsia" w:ascii="仿宋_GB2312" w:hAnsi="宋体" w:eastAsia="仿宋_GB2312" w:cs="Times New Roman"/>
          <w:b w:val="0"/>
          <w:bCs w:val="0"/>
          <w:kern w:val="2"/>
          <w:sz w:val="32"/>
          <w:szCs w:val="32"/>
          <w:lang w:val="en-US" w:eastAsia="zh-CN" w:bidi="ar-SA"/>
        </w:rPr>
        <w:t>分别对获奖组织和评审人员提出具体的管理要求。</w:t>
      </w:r>
    </w:p>
    <w:p>
      <w:pPr>
        <w:numPr>
          <w:ilvl w:val="0"/>
          <w:numId w:val="0"/>
        </w:numPr>
        <w:spacing w:line="560" w:lineRule="exact"/>
        <w:ind w:leftChars="200" w:firstLine="320" w:firstLineChars="1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（四）标识管理</w:t>
      </w:r>
    </w:p>
    <w:p>
      <w:pPr>
        <w:pStyle w:val="2"/>
        <w:numPr>
          <w:ilvl w:val="0"/>
          <w:numId w:val="0"/>
        </w:numPr>
        <w:ind w:firstLine="640" w:firstLineChars="200"/>
        <w:rPr>
          <w:rFonts w:hint="eastAsia" w:ascii="仿宋_GB2312" w:hAnsi="宋体" w:eastAsia="仿宋_GB2312" w:cs="Times New Roman"/>
          <w:b w:val="0"/>
          <w:bCs w:val="0"/>
          <w:kern w:val="2"/>
          <w:sz w:val="32"/>
          <w:szCs w:val="32"/>
          <w:lang w:val="en-US" w:eastAsia="zh-CN" w:bidi="ar-SA"/>
        </w:rPr>
      </w:pPr>
      <w:r>
        <w:rPr>
          <w:rFonts w:hint="eastAsia" w:ascii="仿宋_GB2312" w:hAnsi="宋体" w:eastAsia="仿宋_GB2312" w:cs="Times New Roman"/>
          <w:b w:val="0"/>
          <w:bCs w:val="0"/>
          <w:kern w:val="2"/>
          <w:sz w:val="32"/>
          <w:szCs w:val="32"/>
          <w:lang w:val="en-US" w:eastAsia="zh-CN" w:bidi="ar-SA"/>
        </w:rPr>
        <w:t>明确天台县人民</w:t>
      </w:r>
      <w:bookmarkStart w:id="0" w:name="_GoBack"/>
      <w:bookmarkEnd w:id="0"/>
      <w:r>
        <w:rPr>
          <w:rFonts w:hint="eastAsia" w:ascii="仿宋_GB2312" w:hAnsi="宋体" w:eastAsia="仿宋_GB2312" w:cs="Times New Roman"/>
          <w:b w:val="0"/>
          <w:bCs w:val="0"/>
          <w:kern w:val="2"/>
          <w:sz w:val="32"/>
          <w:szCs w:val="32"/>
          <w:lang w:val="en-US" w:eastAsia="zh-CN" w:bidi="ar-SA"/>
        </w:rPr>
        <w:t>政府质量奖标识著作权的所有权以及使用规范。</w:t>
      </w:r>
    </w:p>
    <w:p>
      <w:pPr>
        <w:numPr>
          <w:ilvl w:val="0"/>
          <w:numId w:val="0"/>
        </w:numPr>
        <w:spacing w:line="560" w:lineRule="exact"/>
        <w:ind w:leftChars="200" w:firstLine="320" w:firstLineChars="100"/>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（五）附则</w:t>
      </w:r>
    </w:p>
    <w:p>
      <w:pPr>
        <w:numPr>
          <w:ilvl w:val="0"/>
          <w:numId w:val="0"/>
        </w:numPr>
        <w:spacing w:line="560" w:lineRule="exact"/>
        <w:ind w:firstLine="640" w:firstLineChars="200"/>
        <w:rPr>
          <w:rFonts w:hint="default" w:ascii="仿宋_GB2312" w:hAnsi="宋体" w:eastAsia="仿宋_GB2312" w:cs="Times New Roman"/>
          <w:b w:val="0"/>
          <w:bCs w:val="0"/>
          <w:kern w:val="2"/>
          <w:sz w:val="32"/>
          <w:szCs w:val="32"/>
          <w:lang w:val="en-US" w:eastAsia="zh-CN" w:bidi="ar-SA"/>
        </w:rPr>
      </w:pPr>
      <w:r>
        <w:rPr>
          <w:rFonts w:hint="eastAsia" w:ascii="仿宋_GB2312" w:hAnsi="宋体" w:eastAsia="仿宋_GB2312" w:cs="Times New Roman"/>
          <w:b w:val="0"/>
          <w:bCs w:val="0"/>
          <w:kern w:val="2"/>
          <w:sz w:val="32"/>
          <w:szCs w:val="32"/>
          <w:lang w:val="en-US" w:eastAsia="zh-CN" w:bidi="ar-SA"/>
        </w:rPr>
        <w:t>规定负责《细则》的解释机构以及施行时间等。</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19</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AKuN5Y1wEAALADAAAOAAAAAAAAAAEAIAAA&#10;AB8BAABkcnMvZTJvRG9jLnhtbFBLBQYAAAAABgAGAFkBAABoBQ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19</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ABB560"/>
    <w:multiLevelType w:val="singleLevel"/>
    <w:tmpl w:val="D6ABB560"/>
    <w:lvl w:ilvl="0" w:tentative="0">
      <w:start w:val="1"/>
      <w:numFmt w:val="chineseCounting"/>
      <w:suff w:val="nothing"/>
      <w:lvlText w:val="（%1）"/>
      <w:lvlJc w:val="left"/>
      <w:rPr>
        <w:rFonts w:hint="eastAsia"/>
      </w:rPr>
    </w:lvl>
  </w:abstractNum>
  <w:abstractNum w:abstractNumId="1">
    <w:nsid w:val="5FFE467E"/>
    <w:multiLevelType w:val="singleLevel"/>
    <w:tmpl w:val="5FFE467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1YzA0Nzc2ODJmM2I0ZjJlZjBiMmY4MmVmOWY5NDUifQ=="/>
  </w:docVars>
  <w:rsids>
    <w:rsidRoot w:val="6B323383"/>
    <w:rsid w:val="6B323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First Indent"/>
    <w:basedOn w:val="5"/>
    <w:qFormat/>
    <w:uiPriority w:val="0"/>
    <w:pPr>
      <w:ind w:firstLine="420" w:firstLineChars="100"/>
    </w:pPr>
  </w:style>
  <w:style w:type="paragraph" w:styleId="5">
    <w:name w:val="Body Text"/>
    <w:basedOn w:val="1"/>
    <w:qFormat/>
    <w:uiPriority w:val="0"/>
    <w:pPr>
      <w:spacing w:line="580" w:lineRule="exact"/>
      <w:ind w:firstLine="720" w:firstLineChars="200"/>
    </w:pPr>
    <w:rPr>
      <w:rFonts w:ascii="仿宋_GB2312" w:hAnsi="仿宋_GB2312" w:eastAsia="仿宋_GB2312" w:cs="仿宋_GB2312"/>
      <w:sz w:val="32"/>
    </w:rPr>
  </w:style>
  <w:style w:type="paragraph" w:styleId="6">
    <w:name w:val="footer"/>
    <w:basedOn w:val="1"/>
    <w:qFormat/>
    <w:uiPriority w:val="99"/>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浙江省工商行政管理局</Company>
  <Pages>1</Pages>
  <Words>0</Words>
  <Characters>0</Characters>
  <Lines>0</Lines>
  <Paragraphs>0</Paragraphs>
  <TotalTime>7</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2023-01-13T00:45:00Z</dcterms:created>
  <dc:creator>郑梦霞</dc:creator>
  <cp:lastModifiedBy>郑梦霞</cp:lastModifiedBy>
  <dcterms:modified xsi:type="dcterms:W3CDTF">2023-01-13T00:54:17Z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3ECF0B462EED465F808A95A4D0061FC5</vt:lpwstr>
  </property>
</Properties>
</file>