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等线" w:hAnsi="等线" w:eastAsia="仿宋_GB2312"/>
          <w:b/>
          <w:bCs/>
          <w:sz w:val="36"/>
        </w:rPr>
      </w:pPr>
    </w:p>
    <w:p>
      <w:pPr>
        <w:rPr>
          <w:rFonts w:hint="eastAsia" w:ascii="等线" w:hAnsi="等线" w:eastAsia="仿宋_GB2312"/>
          <w:b/>
          <w:bCs/>
          <w:sz w:val="36"/>
        </w:rPr>
      </w:pPr>
    </w:p>
    <w:tbl>
      <w:tblPr>
        <w:tblStyle w:val="5"/>
        <w:tblW w:w="8683" w:type="dxa"/>
        <w:jc w:val="center"/>
        <w:tblLayout w:type="fixed"/>
        <w:tblCellMar>
          <w:top w:w="0" w:type="dxa"/>
          <w:left w:w="108" w:type="dxa"/>
          <w:bottom w:w="0" w:type="dxa"/>
          <w:right w:w="108" w:type="dxa"/>
        </w:tblCellMar>
      </w:tblPr>
      <w:tblGrid>
        <w:gridCol w:w="8683"/>
      </w:tblGrid>
      <w:tr>
        <w:tblPrEx>
          <w:tblCellMar>
            <w:top w:w="0" w:type="dxa"/>
            <w:left w:w="108" w:type="dxa"/>
            <w:bottom w:w="0" w:type="dxa"/>
            <w:right w:w="108" w:type="dxa"/>
          </w:tblCellMar>
        </w:tblPrEx>
        <w:trPr>
          <w:cantSplit/>
          <w:trHeight w:val="1118" w:hRule="atLeast"/>
          <w:jc w:val="center"/>
        </w:trPr>
        <w:tc>
          <w:tcPr>
            <w:tcW w:w="8683" w:type="dxa"/>
            <w:noWrap w:val="0"/>
            <w:vAlign w:val="center"/>
          </w:tcPr>
          <w:p>
            <w:pPr>
              <w:spacing w:line="1100" w:lineRule="exact"/>
              <w:jc w:val="distribute"/>
              <w:rPr>
                <w:rFonts w:ascii="方正小标宋简体" w:hAnsi="华文中宋" w:eastAsia="方正小标宋简体"/>
                <w:b/>
                <w:bCs/>
                <w:color w:val="FF0000"/>
                <w:spacing w:val="-20"/>
                <w:w w:val="70"/>
                <w:sz w:val="100"/>
                <w:szCs w:val="100"/>
              </w:rPr>
            </w:pPr>
            <w:r>
              <w:rPr>
                <w:rFonts w:hint="eastAsia" w:ascii="方正小标宋简体" w:hAnsi="华文中宋" w:eastAsia="方正小标宋简体"/>
                <w:b/>
                <w:bCs/>
                <w:color w:val="FF0000"/>
                <w:spacing w:val="-20"/>
                <w:w w:val="70"/>
                <w:sz w:val="100"/>
                <w:szCs w:val="100"/>
              </w:rPr>
              <w:t>天台县新型冠状病毒</w:t>
            </w:r>
          </w:p>
        </w:tc>
      </w:tr>
      <w:tr>
        <w:tblPrEx>
          <w:tblCellMar>
            <w:top w:w="0" w:type="dxa"/>
            <w:left w:w="108" w:type="dxa"/>
            <w:bottom w:w="0" w:type="dxa"/>
            <w:right w:w="108" w:type="dxa"/>
          </w:tblCellMar>
        </w:tblPrEx>
        <w:trPr>
          <w:cantSplit/>
          <w:trHeight w:val="1163" w:hRule="atLeast"/>
          <w:jc w:val="center"/>
        </w:trPr>
        <w:tc>
          <w:tcPr>
            <w:tcW w:w="8683" w:type="dxa"/>
            <w:noWrap w:val="0"/>
            <w:vAlign w:val="center"/>
          </w:tcPr>
          <w:p>
            <w:pPr>
              <w:spacing w:line="1100" w:lineRule="exact"/>
              <w:jc w:val="distribute"/>
              <w:rPr>
                <w:rFonts w:ascii="方正小标宋简体" w:hAnsi="华文中宋" w:eastAsia="方正小标宋简体"/>
                <w:b/>
                <w:bCs/>
                <w:color w:val="FF0000"/>
                <w:spacing w:val="-20"/>
                <w:w w:val="70"/>
                <w:sz w:val="100"/>
                <w:szCs w:val="100"/>
              </w:rPr>
            </w:pPr>
            <w:r>
              <w:rPr>
                <w:rFonts w:hint="eastAsia" w:ascii="方正小标宋简体" w:hAnsi="华文中宋" w:eastAsia="方正小标宋简体"/>
                <w:b/>
                <w:bCs/>
                <w:color w:val="FF0000"/>
                <w:spacing w:val="-20"/>
                <w:w w:val="70"/>
                <w:sz w:val="100"/>
                <w:szCs w:val="100"/>
              </w:rPr>
              <w:t>肺炎疫情防控指挥部</w:t>
            </w:r>
          </w:p>
        </w:tc>
      </w:tr>
    </w:tbl>
    <w:p>
      <w:pPr>
        <w:ind w:left="-111" w:leftChars="-89" w:hanging="76" w:hangingChars="21"/>
        <w:rPr>
          <w:rFonts w:hint="eastAsia" w:ascii="等线" w:hAnsi="等线" w:eastAsia="仿宋_GB2312"/>
          <w:b/>
          <w:bCs/>
          <w:sz w:val="36"/>
        </w:rPr>
      </w:pPr>
    </w:p>
    <w:p>
      <w:pPr>
        <w:jc w:val="center"/>
        <w:rPr>
          <w:rFonts w:hint="eastAsia" w:ascii="仿宋_GB2312" w:hAnsi="等线" w:eastAsia="仿宋_GB2312"/>
          <w:b/>
          <w:bCs/>
          <w:sz w:val="32"/>
          <w:szCs w:val="32"/>
        </w:rPr>
      </w:pPr>
      <w:r>
        <w:rPr>
          <w:rFonts w:hint="eastAsia" w:ascii="仿宋_GB2312" w:hAnsi="微软雅黑" w:eastAsia="仿宋_GB2312"/>
          <w:bCs/>
          <w:color w:val="151515"/>
          <w:sz w:val="32"/>
        </w:rPr>
        <w:t>通告</w:t>
      </w:r>
      <w:r>
        <w:rPr>
          <w:rFonts w:hint="eastAsia" w:ascii="仿宋_GB2312" w:hAnsi="微软雅黑" w:eastAsia="仿宋_GB2312"/>
          <w:bCs/>
          <w:color w:val="151515"/>
          <w:sz w:val="32"/>
          <w:lang w:val="en-US" w:eastAsia="zh-CN"/>
        </w:rPr>
        <w:t>55</w:t>
      </w:r>
      <w:r>
        <w:rPr>
          <w:rFonts w:hint="eastAsia" w:ascii="仿宋_GB2312" w:hAnsi="微软雅黑" w:eastAsia="仿宋_GB2312"/>
          <w:bCs/>
          <w:color w:val="151515"/>
          <w:sz w:val="32"/>
        </w:rPr>
        <w:t>号</w:t>
      </w:r>
    </w:p>
    <w:p>
      <w:pPr>
        <w:shd w:val="clear" w:color="auto" w:fill="FFFFFF"/>
        <w:spacing w:line="240" w:lineRule="exact"/>
        <w:jc w:val="center"/>
        <w:rPr>
          <w:rFonts w:ascii="方正小标宋简体" w:hAnsi="微软雅黑" w:eastAsia="方正小标宋简体" w:cs="宋体"/>
          <w:b/>
          <w:bCs/>
          <w:color w:val="151515"/>
          <w:sz w:val="44"/>
        </w:rPr>
      </w:pPr>
      <w:r>
        <w:rPr>
          <w:rFonts w:ascii="仿宋_GB2312" w:hAnsi="等线"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-219075</wp:posOffset>
                </wp:positionH>
                <wp:positionV relativeFrom="paragraph">
                  <wp:posOffset>99695</wp:posOffset>
                </wp:positionV>
                <wp:extent cx="5732145" cy="0"/>
                <wp:effectExtent l="0" t="13970" r="1905" b="24130"/>
                <wp:wrapNone/>
                <wp:docPr id="3" name="直接连接符 3"/>
                <wp:cNvGraphicFramePr/>
                <a:graphic xmlns:a="http://schemas.openxmlformats.org/drawingml/2006/main">
                  <a:graphicData uri="http://schemas.microsoft.com/office/word/2010/wordprocessingShape">
                    <wps:wsp>
                      <wps:cNvCnPr/>
                      <wps:spPr>
                        <a:xfrm>
                          <a:off x="0" y="0"/>
                          <a:ext cx="5732145"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25pt;margin-top:7.85pt;height:0pt;width:451.35pt;z-index:251660288;mso-width-relative:page;mso-height-relative:page;" filled="f" stroked="t" coordsize="21600,21600" o:gfxdata="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ahPj61wAAAAkBAAAPAAAAAAAAAAEAIAAAACIAAABkcnMvZG93bnJldi54bWxQ&#10;SwECFAAUAAAACACHTuJA9yIfQvgBAADlAwAADgAAAAAAAAABACAAAAAmAQAAZHJzL2Uyb0RvYy54&#10;bWxQSwUGAAAAAAYABgBZAQAAkAUAAAAA&#10;">
                <v:fill on="f" focussize="0,0"/>
                <v:stroke weight="2.25pt" color="#FF0000" joinstyle="round"/>
                <v:imagedata o:title=""/>
                <o:lock v:ext="edit" aspectratio="f"/>
              </v:line>
            </w:pict>
          </mc:Fallback>
        </mc:AlternateContent>
      </w:r>
    </w:p>
    <w:p>
      <w:pPr>
        <w:widowControl/>
        <w:spacing w:line="700" w:lineRule="exact"/>
        <w:jc w:val="center"/>
        <w:rPr>
          <w:rFonts w:hint="eastAsia" w:ascii="方正小标宋简体" w:hAnsi="方正小标宋简体" w:eastAsia="方正小标宋简体" w:cs="方正小标宋简体"/>
          <w:b w:val="0"/>
          <w:bCs w:val="0"/>
          <w:color w:val="000000"/>
          <w:spacing w:val="8"/>
          <w:kern w:val="0"/>
          <w:sz w:val="44"/>
          <w:szCs w:val="4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关于全面落实“十个从严”疫情防控措施的补充通告</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宋体" w:eastAsia="方正小标宋简体" w:cs="宋体"/>
          <w:spacing w:val="10"/>
          <w:sz w:val="44"/>
          <w:szCs w:val="36"/>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根据浙江省新型冠状病毒肺炎疫情防控工作领导小组办公室关于全面从严从紧加强疫情防控工作的要求，切实降低疫情传播风险，在全面落实“十个从严”疫情防控措施的基础上，现补充通告如下：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3" w:firstLineChars="200"/>
        <w:jc w:val="both"/>
        <w:rPr>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rPr>
        <w:t>一、从严控制会议活动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50人以上会议活动应制定疫情防控方案，并严格落实各项防控措施。严控庙会、大型文艺演出、展销促销等活动，减少农村集市规模和频次。</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3" w:firstLineChars="200"/>
        <w:jc w:val="both"/>
        <w:rPr>
          <w:rStyle w:val="7"/>
          <w:rFonts w:hint="eastAsia" w:ascii="仿宋_GB2312" w:hAnsi="仿宋_GB2312" w:eastAsia="仿宋_GB2312" w:cs="仿宋_GB2312"/>
          <w:sz w:val="32"/>
          <w:szCs w:val="32"/>
          <w:lang w:val="en-US" w:eastAsia="zh-CN"/>
        </w:rPr>
      </w:pPr>
      <w:r>
        <w:rPr>
          <w:rStyle w:val="7"/>
          <w:rFonts w:hint="eastAsia" w:ascii="仿宋_GB2312" w:hAnsi="仿宋_GB2312" w:eastAsia="仿宋_GB2312" w:cs="仿宋_GB2312"/>
          <w:sz w:val="32"/>
          <w:szCs w:val="32"/>
          <w:lang w:val="en-US" w:eastAsia="zh-CN"/>
        </w:rPr>
        <w:t>从严加强密闭场所管控</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640" w:firstLineChars="200"/>
        <w:jc w:val="both"/>
        <w:rPr>
          <w:rStyle w:val="7"/>
          <w:rFonts w:hint="eastAsia" w:ascii="仿宋_GB2312" w:hAnsi="仿宋_GB2312" w:eastAsia="仿宋_GB2312" w:cs="仿宋_GB2312"/>
          <w:b w:val="0"/>
          <w:bCs/>
          <w:sz w:val="32"/>
          <w:szCs w:val="32"/>
          <w:lang w:val="en-US" w:eastAsia="zh-CN"/>
        </w:rPr>
      </w:pPr>
      <w:r>
        <w:rPr>
          <w:rStyle w:val="7"/>
          <w:rFonts w:hint="eastAsia" w:ascii="仿宋_GB2312" w:hAnsi="仿宋_GB2312" w:eastAsia="仿宋_GB2312" w:cs="仿宋_GB2312"/>
          <w:b w:val="0"/>
          <w:bCs/>
          <w:sz w:val="32"/>
          <w:szCs w:val="32"/>
          <w:lang w:val="en-US" w:eastAsia="zh-CN"/>
        </w:rPr>
        <w:t>宗教及民间信仰活动场所暂停开放，暂停举办宗教及民间信仰活动（恢复时间另行通知）。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3" w:firstLineChars="200"/>
        <w:jc w:val="both"/>
        <w:rPr>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lang w:val="en-US" w:eastAsia="zh-CN"/>
        </w:rPr>
        <w:t>三</w:t>
      </w:r>
      <w:r>
        <w:rPr>
          <w:rStyle w:val="7"/>
          <w:rFonts w:hint="eastAsia" w:ascii="仿宋_GB2312" w:hAnsi="仿宋_GB2312" w:eastAsia="仿宋_GB2312" w:cs="仿宋_GB2312"/>
          <w:sz w:val="32"/>
          <w:szCs w:val="32"/>
        </w:rPr>
        <w:t>、从严管理聚会活动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倡导家庭聚餐聚会等不超过10人。承办5桌以上聚餐活动的餐饮单位须严格做好疫情防控工作，确保就餐人员落实扫码、现场测温等措施后进入就餐场所，非就餐期间规范佩戴好口罩，并做好餐厅的通风消毒工作。自行举办5桌以上聚餐活动个人，须向属地社区居委会或村委会报备，落实属地疫情防控规定。饭店、餐馆堂食按容量50%控制人数，隔位就座，鼓励顾客打包带走消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3" w:firstLineChars="200"/>
        <w:jc w:val="both"/>
        <w:rPr>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lang w:val="en-US" w:eastAsia="zh-CN"/>
        </w:rPr>
        <w:t>四</w:t>
      </w:r>
      <w:r>
        <w:rPr>
          <w:rStyle w:val="7"/>
          <w:rFonts w:hint="eastAsia" w:ascii="仿宋_GB2312" w:hAnsi="仿宋_GB2312" w:eastAsia="仿宋_GB2312" w:cs="仿宋_GB2312"/>
          <w:sz w:val="32"/>
          <w:szCs w:val="32"/>
        </w:rPr>
        <w:t>、从严出行管理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集中隔离点、发热门诊（诊室）等重点场所高风险岗位人员应尽量避免出行，确需出行的须满足脱离工作岗位14天以上且持48小时内核酸检测阴性证明，并在所在单位报备（执行时间到2022年3月15日）。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级党政机关、事业单位、国有企业要加强出差审批和因私出行管理，提倡非必要不出省。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即日起全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旅行社及在线旅游企业暂停经营跨省团队旅游及“机票+酒店”业务；待省内全域为低风险地区后，再按照有关规定自行恢复跨省旅游经营活动。</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Chars="200" w:right="0" w:rightChars="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五、从严加强哨点监测</w:t>
      </w:r>
      <w:bookmarkStart w:id="0" w:name="_GoBack"/>
      <w:bookmarkEnd w:id="0"/>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全县各类药店暂停销售退热、止咳、抗病毒、抗菌类药品，严格实施信息报告制度，劝导其到设有发热门诊（诊室）医疗机构就诊，如有违反，一律依法依规追究责任。</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Chars="200" w:right="0" w:rightChars="0"/>
        <w:jc w:val="both"/>
        <w:rPr>
          <w:rFonts w:hint="eastAsia" w:ascii="仿宋_GB2312" w:hAnsi="仿宋_GB2312" w:eastAsia="仿宋_GB2312" w:cs="仿宋_GB2312"/>
          <w:sz w:val="32"/>
          <w:szCs w:val="3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_GB2312" w:hAnsi="仿宋_GB2312" w:eastAsia="仿宋_GB2312" w:cs="仿宋_GB2312"/>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_GB2312" w:hAnsi="仿宋_GB2312" w:eastAsia="仿宋_GB2312" w:cs="仿宋_GB2312"/>
          <w:sz w:val="32"/>
          <w:szCs w:val="32"/>
        </w:rPr>
      </w:pPr>
    </w:p>
    <w:p>
      <w:pPr>
        <w:ind w:firstLine="4480" w:firstLineChars="1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天台县</w:t>
      </w:r>
      <w:r>
        <w:rPr>
          <w:rFonts w:hint="eastAsia" w:ascii="仿宋_GB2312" w:hAnsi="仿宋_GB2312" w:eastAsia="仿宋_GB2312" w:cs="仿宋_GB2312"/>
          <w:sz w:val="32"/>
          <w:szCs w:val="32"/>
        </w:rPr>
        <w:t>新型冠状病毒肺炎</w:t>
      </w:r>
    </w:p>
    <w:p>
      <w:pPr>
        <w:ind w:firstLine="5120" w:firstLineChars="1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疫情防控指挥部</w:t>
      </w:r>
    </w:p>
    <w:p>
      <w:pPr>
        <w:ind w:firstLine="5120" w:firstLineChars="1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2021年12月1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w:t>
      </w:r>
    </w:p>
    <w:p>
      <w:pPr>
        <w:rPr>
          <w:rFonts w:hint="eastAsia" w:ascii="仿宋" w:hAnsi="仿宋" w:eastAsia="仿宋" w:cs="仿宋"/>
          <w:spacing w:val="10"/>
          <w:kern w:val="2"/>
          <w:sz w:val="32"/>
          <w:szCs w:val="32"/>
          <w:lang w:val="en-US" w:eastAsia="zh-CN" w:bidi="ar-SA"/>
        </w:rPr>
      </w:pPr>
    </w:p>
    <w:sectPr>
      <w:headerReference r:id="rId4" w:type="first"/>
      <w:footerReference r:id="rId6" w:type="first"/>
      <w:headerReference r:id="rId3" w:type="default"/>
      <w:footerReference r:id="rId5" w:type="default"/>
      <w:pgSz w:w="11906" w:h="16838"/>
      <w:pgMar w:top="1440" w:right="1800" w:bottom="1440" w:left="1800"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1</w:t>
                          </w:r>
                          <w:r>
                            <w:rPr>
                              <w:rFonts w:hint="default" w:ascii="Times New Roman" w:hAnsi="Times New Roman" w:cs="Times New Roman"/>
                              <w:sz w:val="28"/>
                              <w:szCs w:val="4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1</w:t>
                    </w:r>
                    <w:r>
                      <w:rPr>
                        <w:rFonts w:hint="default" w:ascii="Times New Roman" w:hAnsi="Times New Roman" w:cs="Times New Roman"/>
                        <w:sz w:val="28"/>
                        <w:szCs w:val="4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E7F853"/>
    <w:multiLevelType w:val="singleLevel"/>
    <w:tmpl w:val="40E7F85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6C08C3"/>
    <w:rsid w:val="25764BD7"/>
    <w:rsid w:val="4274209E"/>
    <w:rsid w:val="50E569ED"/>
    <w:rsid w:val="72C0731F"/>
    <w:rsid w:val="7E5C4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2021-12-10T03:05:00Z</dcterms:created>
  <dc:creator>admin111</dc:creator>
  <cp:lastModifiedBy>姜静</cp:lastModifiedBy>
  <dcterms:modified xsi:type="dcterms:W3CDTF">2021-12-12T12:56:15Z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1300CB402C874FB483683E961B93E544</vt:lpwstr>
  </property>
</Properties>
</file>