
<file path=[Content_Types].xml><?xml version="1.0" encoding="utf-8"?>
<Types xmlns="http://schemas.openxmlformats.org/package/2006/content-types">
  <Default Extension="xml" ContentType="application/xml"/>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jc w:val="center"/>
        <w:rPr>
          <w:rFonts w:hint="eastAsia"/>
          <w:b/>
          <w:bCs/>
          <w:sz w:val="40"/>
          <w:szCs w:val="48"/>
        </w:rPr>
      </w:pPr>
      <w:r>
        <w:rPr>
          <w:rFonts w:hint="eastAsia"/>
          <w:b/>
          <w:bCs/>
          <w:sz w:val="40"/>
          <w:szCs w:val="48"/>
        </w:rPr>
        <w:t>高铁天台站站前广场及配套工程（</w:t>
      </w:r>
      <w:r>
        <w:rPr>
          <w:rFonts w:hint="eastAsia"/>
          <w:b/>
          <w:bCs/>
          <w:sz w:val="40"/>
          <w:szCs w:val="48"/>
          <w:lang w:eastAsia="zh-CN"/>
        </w:rPr>
        <w:t>装修</w:t>
      </w:r>
      <w:r>
        <w:rPr>
          <w:rFonts w:hint="eastAsia"/>
          <w:b/>
          <w:bCs/>
          <w:sz w:val="40"/>
          <w:szCs w:val="48"/>
        </w:rPr>
        <w:t>）</w:t>
      </w:r>
    </w:p>
    <w:p>
      <w:pPr>
        <w:numPr>
          <w:ilvl w:val="0"/>
          <w:numId w:val="0"/>
        </w:numPr>
        <w:jc w:val="center"/>
        <w:rPr>
          <w:rFonts w:hint="eastAsia"/>
          <w:b/>
          <w:bCs/>
          <w:sz w:val="40"/>
          <w:szCs w:val="48"/>
        </w:rPr>
      </w:pPr>
    </w:p>
    <w:p>
      <w:pPr>
        <w:spacing w:line="360" w:lineRule="auto"/>
        <w:rPr>
          <w:b/>
          <w:bCs/>
          <w:sz w:val="28"/>
          <w:szCs w:val="28"/>
        </w:rPr>
      </w:pPr>
      <w:r>
        <w:rPr>
          <w:rFonts w:hint="eastAsia"/>
          <w:b/>
          <w:bCs/>
          <w:sz w:val="28"/>
          <w:szCs w:val="28"/>
        </w:rPr>
        <w:t>一、施工单位概况</w:t>
      </w:r>
    </w:p>
    <w:p>
      <w:pPr>
        <w:numPr>
          <w:ilvl w:val="0"/>
          <w:numId w:val="2"/>
        </w:numPr>
        <w:spacing w:line="360" w:lineRule="auto"/>
        <w:rPr>
          <w:sz w:val="24"/>
        </w:rPr>
      </w:pPr>
      <w:r>
        <w:rPr>
          <w:rFonts w:hint="eastAsia"/>
          <w:b/>
          <w:bCs/>
          <w:sz w:val="24"/>
        </w:rPr>
        <w:t>施工单位名称：</w:t>
      </w:r>
      <w:r>
        <w:rPr>
          <w:rFonts w:hint="eastAsia"/>
          <w:sz w:val="24"/>
          <w:lang w:eastAsia="zh-CN"/>
        </w:rPr>
        <w:t>浙江中工联合工程有限公司（曾用名：杭州嘉盛装饰工程有限公司）</w:t>
      </w:r>
    </w:p>
    <w:p>
      <w:pPr>
        <w:numPr>
          <w:ilvl w:val="0"/>
          <w:numId w:val="2"/>
        </w:numPr>
        <w:spacing w:line="360" w:lineRule="auto"/>
        <w:rPr>
          <w:sz w:val="24"/>
        </w:rPr>
      </w:pPr>
      <w:r>
        <w:rPr>
          <w:rFonts w:hint="eastAsia"/>
          <w:b/>
          <w:bCs/>
          <w:sz w:val="24"/>
        </w:rPr>
        <w:t>施工单位项目经理：</w:t>
      </w:r>
      <w:r>
        <w:rPr>
          <w:rFonts w:hint="eastAsia"/>
          <w:sz w:val="24"/>
          <w:lang w:eastAsia="zh-CN"/>
        </w:rPr>
        <w:t>沈燕中</w:t>
      </w:r>
    </w:p>
    <w:p>
      <w:pPr>
        <w:numPr>
          <w:ilvl w:val="0"/>
          <w:numId w:val="2"/>
        </w:numPr>
        <w:spacing w:line="360" w:lineRule="auto"/>
        <w:rPr>
          <w:rFonts w:hint="eastAsia"/>
          <w:b w:val="0"/>
          <w:bCs w:val="0"/>
          <w:sz w:val="24"/>
        </w:rPr>
      </w:pPr>
      <w:r>
        <w:rPr>
          <w:rFonts w:hint="eastAsia"/>
          <w:b/>
          <w:bCs/>
          <w:sz w:val="24"/>
        </w:rPr>
        <w:t>施工单位资质类别及等级：</w:t>
      </w:r>
      <w:r>
        <w:rPr>
          <w:rFonts w:hint="eastAsia"/>
          <w:b w:val="0"/>
          <w:bCs w:val="0"/>
          <w:sz w:val="24"/>
        </w:rPr>
        <w:t>建筑装修装饰工程专业承包壹级</w:t>
      </w:r>
      <w:r>
        <w:rPr>
          <w:rFonts w:hint="eastAsia"/>
          <w:b w:val="0"/>
          <w:bCs w:val="0"/>
          <w:sz w:val="24"/>
          <w:lang w:eastAsia="zh-CN"/>
        </w:rPr>
        <w:t>、</w:t>
      </w:r>
      <w:r>
        <w:rPr>
          <w:rFonts w:hint="eastAsia"/>
          <w:b w:val="0"/>
          <w:bCs w:val="0"/>
          <w:sz w:val="24"/>
        </w:rPr>
        <w:t>建筑幕墙工程专业承包</w:t>
      </w:r>
      <w:r>
        <w:rPr>
          <w:rFonts w:hint="eastAsia"/>
          <w:b w:val="0"/>
          <w:bCs w:val="0"/>
          <w:sz w:val="24"/>
          <w:lang w:eastAsia="zh-CN"/>
        </w:rPr>
        <w:t>壹</w:t>
      </w:r>
      <w:r>
        <w:rPr>
          <w:rFonts w:hint="eastAsia"/>
          <w:b w:val="0"/>
          <w:bCs w:val="0"/>
          <w:sz w:val="24"/>
        </w:rPr>
        <w:t>级</w:t>
      </w:r>
      <w:r>
        <w:rPr>
          <w:rFonts w:hint="eastAsia"/>
          <w:b w:val="0"/>
          <w:bCs w:val="0"/>
          <w:sz w:val="24"/>
          <w:lang w:eastAsia="zh-CN"/>
        </w:rPr>
        <w:t>、</w:t>
      </w:r>
      <w:r>
        <w:rPr>
          <w:rFonts w:hint="eastAsia"/>
          <w:b w:val="0"/>
          <w:bCs w:val="0"/>
          <w:sz w:val="24"/>
        </w:rPr>
        <w:t>电子与智能化工程专业承包贰级</w:t>
      </w:r>
      <w:r>
        <w:rPr>
          <w:rFonts w:hint="eastAsia"/>
          <w:b w:val="0"/>
          <w:bCs w:val="0"/>
          <w:sz w:val="24"/>
          <w:lang w:eastAsia="zh-CN"/>
        </w:rPr>
        <w:t>、</w:t>
      </w:r>
      <w:r>
        <w:rPr>
          <w:rFonts w:hint="eastAsia"/>
          <w:b w:val="0"/>
          <w:bCs w:val="0"/>
          <w:sz w:val="24"/>
        </w:rPr>
        <w:t>建筑工程施工总承包叁级</w:t>
      </w:r>
      <w:r>
        <w:rPr>
          <w:rFonts w:hint="eastAsia"/>
          <w:b w:val="0"/>
          <w:bCs w:val="0"/>
          <w:sz w:val="24"/>
          <w:lang w:eastAsia="zh-CN"/>
        </w:rPr>
        <w:t>、</w:t>
      </w:r>
      <w:r>
        <w:rPr>
          <w:rFonts w:hint="eastAsia"/>
          <w:b w:val="0"/>
          <w:bCs w:val="0"/>
          <w:sz w:val="24"/>
        </w:rPr>
        <w:t>建筑幕墙工程设计专项甲级</w:t>
      </w:r>
      <w:r>
        <w:rPr>
          <w:rFonts w:hint="eastAsia"/>
          <w:b w:val="0"/>
          <w:bCs w:val="0"/>
          <w:sz w:val="24"/>
          <w:lang w:eastAsia="zh-CN"/>
        </w:rPr>
        <w:t>、</w:t>
      </w:r>
      <w:r>
        <w:rPr>
          <w:rFonts w:hint="eastAsia"/>
          <w:b w:val="0"/>
          <w:bCs w:val="0"/>
          <w:sz w:val="24"/>
        </w:rPr>
        <w:t>建筑装饰工程设计专项甲级</w:t>
      </w:r>
      <w:bookmarkStart w:id="0" w:name="_Toc77021307"/>
    </w:p>
    <w:p>
      <w:pPr>
        <w:numPr>
          <w:ilvl w:val="0"/>
          <w:numId w:val="0"/>
        </w:numPr>
        <w:spacing w:line="360" w:lineRule="auto"/>
        <w:ind w:firstLine="480" w:firstLineChars="200"/>
        <w:rPr>
          <w:rFonts w:hint="eastAsia"/>
          <w:b w:val="0"/>
          <w:bCs w:val="0"/>
          <w:sz w:val="24"/>
        </w:rPr>
      </w:pPr>
    </w:p>
    <w:bookmarkEnd w:id="0"/>
    <w:p>
      <w:pPr>
        <w:numPr>
          <w:ilvl w:val="0"/>
          <w:numId w:val="3"/>
        </w:numPr>
        <w:spacing w:line="360" w:lineRule="auto"/>
        <w:rPr>
          <w:rFonts w:hint="eastAsia"/>
          <w:b/>
          <w:bCs/>
          <w:sz w:val="28"/>
          <w:szCs w:val="28"/>
        </w:rPr>
      </w:pPr>
      <w:r>
        <w:rPr>
          <w:rFonts w:hint="eastAsia"/>
          <w:b/>
          <w:bCs/>
          <w:sz w:val="28"/>
          <w:szCs w:val="28"/>
        </w:rPr>
        <w:t>项目管理相关概况</w:t>
      </w:r>
    </w:p>
    <w:p>
      <w:pPr>
        <w:numPr>
          <w:ilvl w:val="0"/>
          <w:numId w:val="4"/>
        </w:numPr>
        <w:spacing w:line="360" w:lineRule="auto"/>
        <w:rPr>
          <w:rFonts w:hint="eastAsia"/>
          <w:b/>
          <w:bCs/>
          <w:sz w:val="28"/>
          <w:szCs w:val="28"/>
        </w:rPr>
      </w:pPr>
      <w:r>
        <w:rPr>
          <w:rFonts w:hint="eastAsia"/>
          <w:b/>
          <w:bCs/>
          <w:sz w:val="24"/>
        </w:rPr>
        <w:t>施工单位项目管理机构设置</w:t>
      </w:r>
    </w:p>
    <w:p>
      <w:pPr>
        <w:pStyle w:val="6"/>
      </w:pPr>
      <w:r>
        <w:rPr>
          <w:rFonts w:hint="eastAsia"/>
        </w:rPr>
        <w:t>为了确保高铁天台站站前广场及配套工程（装修）的施工进度计划的落实，保证施工质量、施工安全、文明施工。根据工程特点，将设立一个强有力管理组织，以保证本工程各项计划得以充分落实。我司将组建“ 高铁天台站站前广场及配套工程（装修）项目部”，并配备最优的项目管理班子成员，对本工程进行全方位、全过程的精心组织、科学管理。</w:t>
      </w:r>
    </w:p>
    <w:p>
      <w:pPr>
        <w:pStyle w:val="6"/>
      </w:pPr>
      <w:r>
        <w:rPr>
          <w:rFonts w:hint="eastAsia"/>
        </w:rPr>
        <w:t>为了实施项目管理的总目标。以能实现实施项目所要求的工作任务为原则，简化机构缩短流程，做到精干高效。</w:t>
      </w:r>
    </w:p>
    <w:p>
      <w:pPr>
        <w:pStyle w:val="6"/>
      </w:pPr>
      <w:r>
        <w:rPr>
          <w:rFonts w:hint="eastAsia"/>
        </w:rPr>
        <w:t>项目管理系统是由各子专业系统组成，各个子专业系统间存在大量结合部位。设置项目系统时以专业方面考虑划分部门、岗位、权利范围和人员，能够完成项目管理总体目标而实行合理分工和协作。根据本工程的实际情况，现场配备质量员、安全员、施工员、材料员及测量员，本工程的项目管理部是由在施工质量、安全及进度方面具有丰富经验的优秀团队组成。我司将根据施工进度交叉作业，合理调配施工作业人数，确保在时间紧任务重的情况下保质保期保量完成任务。公司拥有大型现代化加工厂和进口高精度幕墙生产设备及生产线，并形成专门加工车间。工厂实行标准化管理，生产过程完全符合</w:t>
      </w:r>
      <w:r>
        <w:t>ISO9001</w:t>
      </w:r>
      <w:r>
        <w:rPr>
          <w:rFonts w:hint="eastAsia"/>
        </w:rPr>
        <w:t>质量体系的要求。</w:t>
      </w:r>
    </w:p>
    <w:p>
      <w:pPr>
        <w:pStyle w:val="6"/>
      </w:pPr>
    </w:p>
    <w:p>
      <w:pPr>
        <w:pStyle w:val="11"/>
      </w:pPr>
      <w:r>
        <w:drawing>
          <wp:inline distT="0" distB="0" distL="0" distR="0">
            <wp:extent cx="6648450" cy="3971925"/>
            <wp:effectExtent l="0" t="0" r="9525" b="0"/>
            <wp:docPr id="1668"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 name="图片 66"/>
                    <pic:cNvPicPr>
                      <a:picLocks noChangeAspect="1" noChangeArrowheads="1"/>
                    </pic:cNvPicPr>
                  </pic:nvPicPr>
                  <pic:blipFill>
                    <a:blip r:embed="rId4" cstate="print">
                      <a:extLst>
                        <a:ext uri="{28A0092B-C50C-407E-A947-70E740481C1C}">
                          <a14:useLocalDpi xmlns:a14="http://schemas.microsoft.com/office/drawing/2010/main" val="0"/>
                        </a:ext>
                      </a:extLst>
                    </a:blip>
                    <a:srcRect r="12477"/>
                    <a:stretch>
                      <a:fillRect/>
                    </a:stretch>
                  </pic:blipFill>
                  <pic:spPr>
                    <a:xfrm rot="-5400000">
                      <a:off x="0" y="0"/>
                      <a:ext cx="6648450" cy="3971925"/>
                    </a:xfrm>
                    <a:prstGeom prst="rect">
                      <a:avLst/>
                    </a:prstGeom>
                    <a:noFill/>
                    <a:ln>
                      <a:noFill/>
                    </a:ln>
                  </pic:spPr>
                </pic:pic>
              </a:graphicData>
            </a:graphic>
          </wp:inline>
        </w:drawing>
      </w:r>
    </w:p>
    <w:p>
      <w:pPr>
        <w:pStyle w:val="11"/>
      </w:pPr>
    </w:p>
    <w:p>
      <w:pPr>
        <w:numPr>
          <w:ilvl w:val="0"/>
          <w:numId w:val="4"/>
        </w:numPr>
        <w:spacing w:line="360" w:lineRule="auto"/>
        <w:rPr>
          <w:rFonts w:hint="eastAsia"/>
          <w:b/>
          <w:bCs/>
          <w:sz w:val="24"/>
        </w:rPr>
      </w:pPr>
      <w:bookmarkStart w:id="1" w:name="_Toc77021314"/>
      <w:r>
        <w:rPr>
          <w:rFonts w:hint="eastAsia"/>
          <w:b/>
          <w:bCs/>
          <w:sz w:val="24"/>
        </w:rPr>
        <w:t>工作职责</w:t>
      </w:r>
    </w:p>
    <w:p>
      <w:pPr>
        <w:spacing w:line="360" w:lineRule="auto"/>
        <w:rPr>
          <w:b/>
          <w:bCs/>
          <w:sz w:val="24"/>
          <w:szCs w:val="15"/>
        </w:rPr>
      </w:pPr>
      <w:r>
        <w:rPr>
          <w:rFonts w:hint="eastAsia"/>
          <w:b/>
          <w:bCs/>
          <w:sz w:val="24"/>
          <w:szCs w:val="15"/>
        </w:rPr>
        <w:t>（1）项目主要管理岗位职责</w:t>
      </w:r>
    </w:p>
    <w:bookmarkEnd w:id="1"/>
    <w:p>
      <w:pPr>
        <w:pStyle w:val="4"/>
        <w:numPr>
          <w:ilvl w:val="2"/>
          <w:numId w:val="5"/>
        </w:numPr>
      </w:pPr>
      <w:bookmarkStart w:id="2" w:name="_Toc77021315"/>
      <w:bookmarkStart w:id="3" w:name="_Toc12964276"/>
      <w:r>
        <w:rPr>
          <w:rFonts w:hint="eastAsia"/>
        </w:rPr>
        <w:t>项目总指挥职责及分工</w:t>
      </w:r>
      <w:bookmarkEnd w:id="2"/>
      <w:bookmarkEnd w:id="3"/>
    </w:p>
    <w:p>
      <w:pPr>
        <w:pStyle w:val="6"/>
      </w:pPr>
      <w:r>
        <w:rPr>
          <w:rFonts w:hint="eastAsia"/>
        </w:rPr>
        <w:t>对整个工程进度和质量负责，技术负责人、项目总协调要定期向总指挥汇报工程情况。特殊难度问题由总指挥负责协调解决。</w:t>
      </w:r>
    </w:p>
    <w:p>
      <w:pPr>
        <w:pStyle w:val="6"/>
      </w:pPr>
      <w:r>
        <w:rPr>
          <w:rFonts w:hint="eastAsia"/>
        </w:rPr>
        <w:t>负责总体施工进度计划审批。</w:t>
      </w:r>
    </w:p>
    <w:p>
      <w:pPr>
        <w:pStyle w:val="6"/>
      </w:pPr>
      <w:r>
        <w:rPr>
          <w:rFonts w:hint="eastAsia"/>
        </w:rPr>
        <w:t>对工程总体施工进度及工程质量负责，并接受集团质量安全监察团监督。</w:t>
      </w:r>
    </w:p>
    <w:p>
      <w:pPr>
        <w:pStyle w:val="6"/>
      </w:pPr>
      <w:r>
        <w:rPr>
          <w:rFonts w:hint="eastAsia"/>
        </w:rPr>
        <w:t>拥有对于本工程有关事宜的决策权。</w:t>
      </w:r>
    </w:p>
    <w:p>
      <w:pPr>
        <w:pStyle w:val="6"/>
      </w:pPr>
      <w:r>
        <w:rPr>
          <w:rFonts w:hint="eastAsia"/>
        </w:rPr>
        <w:t>负责对下属部门或人员监督与考核。</w:t>
      </w:r>
    </w:p>
    <w:p>
      <w:pPr>
        <w:pStyle w:val="4"/>
        <w:numPr>
          <w:ilvl w:val="2"/>
          <w:numId w:val="5"/>
        </w:numPr>
      </w:pPr>
      <w:bookmarkStart w:id="4" w:name="_Toc12964277"/>
      <w:bookmarkStart w:id="5" w:name="_Toc77021316"/>
      <w:r>
        <w:rPr>
          <w:rFonts w:hint="eastAsia"/>
        </w:rPr>
        <w:t>项目经理职责及分工</w:t>
      </w:r>
      <w:bookmarkEnd w:id="4"/>
      <w:bookmarkEnd w:id="5"/>
    </w:p>
    <w:p>
      <w:pPr>
        <w:pStyle w:val="6"/>
      </w:pPr>
      <w:r>
        <w:rPr>
          <w:rFonts w:hint="eastAsia"/>
        </w:rPr>
        <w:t>项目经理是公司选派到工程现场的并赋予现场最高管理权的工程项目管理者。他代表公司对工程施工的质量、进度、技术、安全、文明施工、现场材料管理负完全责任；</w:t>
      </w:r>
    </w:p>
    <w:p>
      <w:pPr>
        <w:pStyle w:val="6"/>
      </w:pPr>
      <w:r>
        <w:rPr>
          <w:rFonts w:hint="eastAsia"/>
        </w:rPr>
        <w:t>对本工程资金的合理使用具有批准权；工程材料由公司采购部按标准购买，项目经理部不得自行采购材料。</w:t>
      </w:r>
    </w:p>
    <w:p>
      <w:pPr>
        <w:pStyle w:val="6"/>
      </w:pPr>
      <w:r>
        <w:rPr>
          <w:rFonts w:hint="eastAsia"/>
        </w:rPr>
        <w:t>对本项目现场全体人员具有管理、考核、评价、分配、使用的全部权利。</w:t>
      </w:r>
    </w:p>
    <w:p>
      <w:pPr>
        <w:pStyle w:val="6"/>
      </w:pPr>
      <w:r>
        <w:rPr>
          <w:rFonts w:hint="eastAsia"/>
        </w:rPr>
        <w:t>根据工程合同，与合同甲方、土建土建、监理公司等各方面进行沟通、协调和配合，落实各项施工准备、施工配合的内容、时间、计划、措施等各项安排；及时处理各项事务。</w:t>
      </w:r>
    </w:p>
    <w:p>
      <w:pPr>
        <w:pStyle w:val="6"/>
      </w:pPr>
      <w:r>
        <w:rPr>
          <w:rFonts w:hint="eastAsia"/>
        </w:rPr>
        <w:t>根据工程合同，组织制定并批准现场施工组织方案；</w:t>
      </w:r>
    </w:p>
    <w:p>
      <w:pPr>
        <w:pStyle w:val="6"/>
      </w:pPr>
      <w:r>
        <w:rPr>
          <w:rFonts w:hint="eastAsia"/>
        </w:rPr>
        <w:t>根据工程合同及现场条件，制定工程总体施工进度计划和各分项计划；并组织落实。</w:t>
      </w:r>
    </w:p>
    <w:p>
      <w:pPr>
        <w:pStyle w:val="6"/>
      </w:pPr>
      <w:r>
        <w:rPr>
          <w:rFonts w:hint="eastAsia"/>
        </w:rPr>
        <w:t>根据计划，检查施工准备和落实情况；</w:t>
      </w:r>
    </w:p>
    <w:p>
      <w:pPr>
        <w:pStyle w:val="6"/>
      </w:pPr>
      <w:r>
        <w:rPr>
          <w:rFonts w:hint="eastAsia"/>
        </w:rPr>
        <w:t>对现场人员管理、考核、评价、分配、奖罚等管理工作；</w:t>
      </w:r>
    </w:p>
    <w:p>
      <w:pPr>
        <w:pStyle w:val="6"/>
      </w:pPr>
      <w:r>
        <w:rPr>
          <w:rFonts w:hint="eastAsia"/>
        </w:rPr>
        <w:t>组织工程施工工作会议，及时解决存在的问题；</w:t>
      </w:r>
    </w:p>
    <w:p>
      <w:pPr>
        <w:pStyle w:val="6"/>
      </w:pPr>
      <w:r>
        <w:rPr>
          <w:rFonts w:hint="eastAsia"/>
        </w:rPr>
        <w:t>组织安全检查、评价、纠正、持续改进的管理工作；</w:t>
      </w:r>
    </w:p>
    <w:p>
      <w:pPr>
        <w:pStyle w:val="6"/>
      </w:pPr>
      <w:r>
        <w:rPr>
          <w:rFonts w:hint="eastAsia"/>
        </w:rPr>
        <w:t>组织施工进度的检查、评价、纠正的管理工作；</w:t>
      </w:r>
    </w:p>
    <w:p>
      <w:pPr>
        <w:pStyle w:val="6"/>
      </w:pPr>
      <w:r>
        <w:rPr>
          <w:rFonts w:hint="eastAsia"/>
        </w:rPr>
        <w:t>组织现场文明施工的检查、评价、纠正、持续改进的管理工作；</w:t>
      </w:r>
    </w:p>
    <w:p>
      <w:pPr>
        <w:pStyle w:val="6"/>
      </w:pPr>
      <w:r>
        <w:rPr>
          <w:rFonts w:hint="eastAsia"/>
        </w:rPr>
        <w:t>组织现场材料保护和使用的检查等管理工作；</w:t>
      </w:r>
    </w:p>
    <w:p>
      <w:pPr>
        <w:pStyle w:val="6"/>
      </w:pPr>
      <w:r>
        <w:rPr>
          <w:rFonts w:hint="eastAsia"/>
        </w:rPr>
        <w:t>组织检查现场技术工作；</w:t>
      </w:r>
    </w:p>
    <w:p>
      <w:pPr>
        <w:pStyle w:val="6"/>
      </w:pPr>
      <w:r>
        <w:rPr>
          <w:rFonts w:hint="eastAsia"/>
        </w:rPr>
        <w:t>对施工现场的全面工作负责。</w:t>
      </w:r>
    </w:p>
    <w:p>
      <w:pPr>
        <w:pStyle w:val="4"/>
        <w:numPr>
          <w:ilvl w:val="2"/>
          <w:numId w:val="5"/>
        </w:numPr>
      </w:pPr>
      <w:bookmarkStart w:id="6" w:name="_Toc12964278"/>
      <w:bookmarkStart w:id="7" w:name="_Toc77021317"/>
      <w:r>
        <w:rPr>
          <w:rFonts w:hint="eastAsia"/>
        </w:rPr>
        <w:t>商务负责人职责及分工</w:t>
      </w:r>
      <w:bookmarkEnd w:id="6"/>
      <w:bookmarkEnd w:id="7"/>
    </w:p>
    <w:p>
      <w:pPr>
        <w:pStyle w:val="6"/>
      </w:pPr>
      <w:r>
        <w:rPr>
          <w:rFonts w:hint="eastAsia"/>
        </w:rPr>
        <w:t>负责合同管理和预算工作，确保合同的正确履行。</w:t>
      </w:r>
    </w:p>
    <w:p>
      <w:pPr>
        <w:pStyle w:val="6"/>
      </w:pPr>
      <w:r>
        <w:rPr>
          <w:rFonts w:hint="eastAsia"/>
        </w:rPr>
        <w:t>对项目进行成本控制，对各项目成本进行预测、制定成本计划。</w:t>
      </w:r>
    </w:p>
    <w:p>
      <w:pPr>
        <w:pStyle w:val="6"/>
      </w:pPr>
      <w:r>
        <w:rPr>
          <w:rFonts w:hint="eastAsia"/>
        </w:rPr>
        <w:t>根据项目的实际情况，制定资金计划，防止财务风险。</w:t>
      </w:r>
    </w:p>
    <w:p>
      <w:pPr>
        <w:pStyle w:val="6"/>
      </w:pPr>
      <w:r>
        <w:rPr>
          <w:rFonts w:hint="eastAsia"/>
        </w:rPr>
        <w:t>根据工程合同负责催收工程款，建立收款台帐，控制资金风险。</w:t>
      </w:r>
    </w:p>
    <w:p>
      <w:pPr>
        <w:pStyle w:val="6"/>
      </w:pPr>
      <w:r>
        <w:rPr>
          <w:rFonts w:hint="eastAsia"/>
        </w:rPr>
        <w:t>本项目部成本目标进行分解，控制和考核，认真组织各单位进行成本核算，责任落实到人，确保总目标按期实现。</w:t>
      </w:r>
    </w:p>
    <w:p>
      <w:pPr>
        <w:pStyle w:val="4"/>
        <w:numPr>
          <w:ilvl w:val="2"/>
          <w:numId w:val="5"/>
        </w:numPr>
      </w:pPr>
      <w:bookmarkStart w:id="8" w:name="_Toc77021318"/>
      <w:bookmarkStart w:id="9" w:name="_Toc12964279"/>
      <w:r>
        <w:rPr>
          <w:rFonts w:hint="eastAsia"/>
        </w:rPr>
        <w:t>技术负责人职责及分工</w:t>
      </w:r>
      <w:bookmarkEnd w:id="8"/>
      <w:bookmarkEnd w:id="9"/>
    </w:p>
    <w:p>
      <w:pPr>
        <w:pStyle w:val="6"/>
      </w:pPr>
      <w:r>
        <w:rPr>
          <w:rFonts w:hint="eastAsia"/>
        </w:rPr>
        <w:t>协助项目经理对项目的技术和质量全面负责，负责工程质量总目标兑现，对工程产品的最终施工质量负全责。对本项安全生产技术工作负直接领导责任。</w:t>
      </w:r>
    </w:p>
    <w:p>
      <w:pPr>
        <w:pStyle w:val="6"/>
      </w:pPr>
      <w:r>
        <w:rPr>
          <w:rFonts w:hint="eastAsia"/>
        </w:rPr>
        <w:t>全面负责项目设计管理工作，包括总体设计的布局、设计意图之考虑、设计计划的拟制及确定、组织项目有关人员参加图纸会审、设计交底，负责编制和审核施工组织设计并及时根据施工情况编制方案及分阶段的实施方案，并解决施工中遇到的工程技术问题和安全技术问题，落实各项技术和质量措施，并指导督促项目技术人员抓好各种操作和质量验收及产品保护。</w:t>
      </w:r>
    </w:p>
    <w:p>
      <w:pPr>
        <w:pStyle w:val="6"/>
      </w:pPr>
      <w:r>
        <w:rPr>
          <w:rFonts w:hint="eastAsia"/>
        </w:rPr>
        <w:t>负责本工程技术管理工作，组织重大技术方案的审核，协调解决施工过程中出现的重大技术问题。</w:t>
      </w:r>
    </w:p>
    <w:p>
      <w:pPr>
        <w:pStyle w:val="6"/>
      </w:pPr>
      <w:r>
        <w:rPr>
          <w:rFonts w:hint="eastAsia"/>
        </w:rPr>
        <w:t>负责施工全过程技术指导与监控，负责监督执行</w:t>
      </w:r>
      <w:r>
        <w:t xml:space="preserve">ISO9001 </w:t>
      </w:r>
      <w:r>
        <w:rPr>
          <w:rFonts w:hint="eastAsia"/>
        </w:rPr>
        <w:t>质量体系，组织施工图纸会审和技术交底工作。</w:t>
      </w:r>
    </w:p>
    <w:p>
      <w:pPr>
        <w:pStyle w:val="6"/>
      </w:pPr>
      <w:r>
        <w:rPr>
          <w:rFonts w:hint="eastAsia"/>
        </w:rPr>
        <w:t>负责主持项目技术例会，处理设计变更有关工作。</w:t>
      </w:r>
    </w:p>
    <w:p>
      <w:pPr>
        <w:pStyle w:val="6"/>
      </w:pPr>
      <w:r>
        <w:rPr>
          <w:rFonts w:hint="eastAsia"/>
        </w:rPr>
        <w:t>与业主、设计单位、监理公司保持经常沟通，保证设计、监理的要求与指令在各工种中贯彻落实。</w:t>
      </w:r>
    </w:p>
    <w:p>
      <w:pPr>
        <w:pStyle w:val="6"/>
      </w:pPr>
      <w:r>
        <w:rPr>
          <w:rFonts w:hint="eastAsia"/>
        </w:rPr>
        <w:t>组织技术骨干对本项目的关键技术难题进行科研攻关，落实加工制作、施工安装工艺，确保施工顺利进行。</w:t>
      </w:r>
    </w:p>
    <w:p>
      <w:pPr>
        <w:pStyle w:val="6"/>
      </w:pPr>
      <w:r>
        <w:rPr>
          <w:rFonts w:hint="eastAsia"/>
        </w:rPr>
        <w:t>负责组织各项性能指标检测材料试验等工作。</w:t>
      </w:r>
    </w:p>
    <w:p>
      <w:pPr>
        <w:pStyle w:val="6"/>
      </w:pPr>
      <w:r>
        <w:rPr>
          <w:rFonts w:hint="eastAsia"/>
        </w:rPr>
        <w:t>实施设计变更，及时提供局部结构优化的方案，完善图纸确认手续。</w:t>
      </w:r>
    </w:p>
    <w:p>
      <w:pPr>
        <w:pStyle w:val="6"/>
      </w:pPr>
      <w:r>
        <w:rPr>
          <w:rFonts w:hint="eastAsia"/>
        </w:rPr>
        <w:t>负责对项目技术事宜与建筑师及设计院进行沟通。</w:t>
      </w:r>
    </w:p>
    <w:p>
      <w:pPr>
        <w:pStyle w:val="4"/>
        <w:numPr>
          <w:ilvl w:val="2"/>
          <w:numId w:val="5"/>
        </w:numPr>
      </w:pPr>
      <w:bookmarkStart w:id="10" w:name="_Toc77021319"/>
      <w:bookmarkStart w:id="11" w:name="_Toc12964280"/>
      <w:r>
        <w:rPr>
          <w:rFonts w:hint="eastAsia"/>
        </w:rPr>
        <w:t>公司安全主管职责及分工</w:t>
      </w:r>
      <w:bookmarkEnd w:id="10"/>
      <w:bookmarkEnd w:id="11"/>
    </w:p>
    <w:p>
      <w:pPr>
        <w:pStyle w:val="6"/>
      </w:pPr>
      <w:r>
        <w:rPr>
          <w:rFonts w:hint="eastAsia"/>
        </w:rPr>
        <w:t>执行本企业的领导和安全部门在安全生产方面的规定，对安全全面负责。</w:t>
      </w:r>
    </w:p>
    <w:p>
      <w:pPr>
        <w:pStyle w:val="6"/>
      </w:pPr>
      <w:r>
        <w:rPr>
          <w:rFonts w:hint="eastAsia"/>
        </w:rPr>
        <w:t>经常检查施工现场的机械设备及其安全装置、钢管架、工夹具、半成品堆放以及生活设施等是否符合安全文明要求。</w:t>
      </w:r>
    </w:p>
    <w:p>
      <w:pPr>
        <w:pStyle w:val="6"/>
      </w:pPr>
      <w:r>
        <w:rPr>
          <w:rFonts w:hint="eastAsia"/>
        </w:rPr>
        <w:t>经常对项目职工进行安全生产思想教育，对新调入项目的工人进行安全生产现场教育；对特种作业的工人，必须经考试合格，并持有操作合格证，方可独立操作。</w:t>
      </w:r>
    </w:p>
    <w:p>
      <w:pPr>
        <w:pStyle w:val="6"/>
      </w:pPr>
      <w:r>
        <w:rPr>
          <w:rFonts w:hint="eastAsia"/>
        </w:rPr>
        <w:t>发生事故时，应及时向主管领导和安全部门报告，并协助安全部门进行事故的调查、登记和分析处理工作。</w:t>
      </w:r>
    </w:p>
    <w:p>
      <w:pPr>
        <w:pStyle w:val="6"/>
      </w:pPr>
      <w:r>
        <w:rPr>
          <w:rFonts w:hint="eastAsia"/>
        </w:rPr>
        <w:t>开展各项安全管理工作，制定具体的安全管理措施。</w:t>
      </w:r>
    </w:p>
    <w:p>
      <w:pPr>
        <w:pStyle w:val="4"/>
        <w:numPr>
          <w:ilvl w:val="2"/>
          <w:numId w:val="5"/>
        </w:numPr>
      </w:pPr>
      <w:bookmarkStart w:id="12" w:name="_Toc77021320"/>
      <w:bookmarkStart w:id="13" w:name="_Toc12964281"/>
      <w:r>
        <w:rPr>
          <w:rFonts w:hint="eastAsia"/>
        </w:rPr>
        <w:t>公司质量主管职责及分工</w:t>
      </w:r>
      <w:bookmarkEnd w:id="12"/>
      <w:bookmarkEnd w:id="13"/>
    </w:p>
    <w:p>
      <w:pPr>
        <w:pStyle w:val="6"/>
      </w:pPr>
      <w:r>
        <w:rPr>
          <w:rFonts w:hint="eastAsia"/>
        </w:rPr>
        <w:t>收集整理质量资料，对现场情况随时随地进行监控，及时填报分项工程质量检查评定报表，协助建立质量档案。</w:t>
      </w:r>
    </w:p>
    <w:p>
      <w:pPr>
        <w:pStyle w:val="6"/>
      </w:pPr>
      <w:r>
        <w:rPr>
          <w:rFonts w:hint="eastAsia"/>
        </w:rPr>
        <w:t>按质量标准及时对工程质量进行验评，对不合格的有权责令返工或停工，并将发生的质量事故及经济损失如实上报。</w:t>
      </w:r>
    </w:p>
    <w:p>
      <w:pPr>
        <w:pStyle w:val="6"/>
      </w:pPr>
      <w:r>
        <w:rPr>
          <w:rFonts w:hint="eastAsia"/>
        </w:rPr>
        <w:t>参加质量会议及质量检查，参加工程质量事故的分析、调查和处理。</w:t>
      </w:r>
    </w:p>
    <w:p>
      <w:pPr>
        <w:pStyle w:val="6"/>
      </w:pPr>
      <w:r>
        <w:rPr>
          <w:rFonts w:hint="eastAsia"/>
        </w:rPr>
        <w:t>积极协助领导开展全面质量管理，严格掌握质量标准，对检验评定的工程质量负责，认真实行目标管理和全面质量管理。</w:t>
      </w:r>
    </w:p>
    <w:p>
      <w:pPr>
        <w:pStyle w:val="6"/>
      </w:pPr>
      <w:r>
        <w:rPr>
          <w:rFonts w:hint="eastAsia"/>
        </w:rPr>
        <w:t>严格按设计图纸、施工规范、施工程序组织施工，按质量检验评定标准检查。</w:t>
      </w:r>
    </w:p>
    <w:p>
      <w:pPr>
        <w:pStyle w:val="6"/>
      </w:pPr>
      <w:r>
        <w:rPr>
          <w:rFonts w:hint="eastAsia"/>
        </w:rPr>
        <w:t>严格掌握质量标准，坚持原则，正确及时反映质量情况。</w:t>
      </w:r>
    </w:p>
    <w:p>
      <w:pPr>
        <w:pStyle w:val="4"/>
        <w:numPr>
          <w:ilvl w:val="2"/>
          <w:numId w:val="5"/>
        </w:numPr>
      </w:pPr>
      <w:bookmarkStart w:id="14" w:name="_Toc12964282"/>
      <w:bookmarkStart w:id="15" w:name="_Toc77021321"/>
      <w:r>
        <w:rPr>
          <w:rFonts w:hint="eastAsia"/>
        </w:rPr>
        <w:t>施工员职责及分工</w:t>
      </w:r>
      <w:bookmarkEnd w:id="14"/>
      <w:bookmarkEnd w:id="15"/>
    </w:p>
    <w:p>
      <w:pPr>
        <w:pStyle w:val="6"/>
      </w:pPr>
      <w:r>
        <w:rPr>
          <w:rFonts w:hint="eastAsia"/>
        </w:rPr>
        <w:t>根据设计图纸和施工进度要求，合理安排各施工班组的现场作业。</w:t>
      </w:r>
    </w:p>
    <w:p>
      <w:pPr>
        <w:pStyle w:val="6"/>
      </w:pPr>
      <w:r>
        <w:rPr>
          <w:rFonts w:hint="eastAsia"/>
        </w:rPr>
        <w:t>负责与其他各施工单位的现场工作协调。</w:t>
      </w:r>
    </w:p>
    <w:p>
      <w:pPr>
        <w:pStyle w:val="6"/>
      </w:pPr>
      <w:r>
        <w:rPr>
          <w:rFonts w:hint="eastAsia"/>
        </w:rPr>
        <w:t>全面监督各施工班组的施工进度情况，并根据实际情况及时做出相应的调整，以保证整体工程的顺利进行。</w:t>
      </w:r>
    </w:p>
    <w:p>
      <w:pPr>
        <w:pStyle w:val="6"/>
      </w:pPr>
      <w:r>
        <w:rPr>
          <w:rFonts w:hint="eastAsia"/>
        </w:rPr>
        <w:t>负责对施工技术方案和施工进度计划的具体贯彻实施工作。</w:t>
      </w:r>
    </w:p>
    <w:p>
      <w:pPr>
        <w:pStyle w:val="6"/>
      </w:pPr>
      <w:r>
        <w:rPr>
          <w:rFonts w:hint="eastAsia"/>
        </w:rPr>
        <w:t>对现场施工过程中出现的各种具体情况及时做出处理，并及时向项目部如实汇报。</w:t>
      </w:r>
    </w:p>
    <w:p>
      <w:pPr>
        <w:pStyle w:val="6"/>
      </w:pPr>
      <w:r>
        <w:rPr>
          <w:rFonts w:hint="eastAsia"/>
        </w:rPr>
        <w:t>严格控制各施工班组的现场材料使用和现场材料保护工作，并落实好成品的保护措施。</w:t>
      </w:r>
    </w:p>
    <w:p>
      <w:pPr>
        <w:pStyle w:val="6"/>
      </w:pPr>
      <w:r>
        <w:rPr>
          <w:rFonts w:hint="eastAsia"/>
        </w:rPr>
        <w:t>根据设计图纸和施工进度要求，合理安排各施工班组的现场作业。</w:t>
      </w:r>
    </w:p>
    <w:p>
      <w:pPr>
        <w:pStyle w:val="6"/>
      </w:pPr>
      <w:r>
        <w:rPr>
          <w:rFonts w:hint="eastAsia"/>
        </w:rPr>
        <w:t>负责与其他各施工单位的现场工作协调。</w:t>
      </w:r>
    </w:p>
    <w:p>
      <w:pPr>
        <w:pStyle w:val="6"/>
      </w:pPr>
      <w:r>
        <w:rPr>
          <w:rFonts w:hint="eastAsia"/>
        </w:rPr>
        <w:t>全面监督各施工班组的施工进度情况，并根据实际情况及时做出相应的调整，以保证整体工程的顺利进行。</w:t>
      </w:r>
    </w:p>
    <w:p>
      <w:pPr>
        <w:pStyle w:val="6"/>
      </w:pPr>
      <w:r>
        <w:rPr>
          <w:rFonts w:hint="eastAsia"/>
        </w:rPr>
        <w:t>负责对施工技术方案和施工进度计划的具体贯彻实施工作。</w:t>
      </w:r>
    </w:p>
    <w:p>
      <w:pPr>
        <w:pStyle w:val="6"/>
      </w:pPr>
      <w:r>
        <w:rPr>
          <w:rFonts w:hint="eastAsia"/>
        </w:rPr>
        <w:t>对现场施工过程中出现的各种具体情况及时做出处理，并及时向项目部如实汇报。</w:t>
      </w:r>
    </w:p>
    <w:p>
      <w:pPr>
        <w:pStyle w:val="6"/>
      </w:pPr>
      <w:r>
        <w:rPr>
          <w:rFonts w:hint="eastAsia"/>
        </w:rPr>
        <w:t>严格控制各施工班组的现场材料使用和现场材料保护工作，并落实好成品的保护措施。负责详细记录施工现场的各种情况，做好施工日记。</w:t>
      </w:r>
    </w:p>
    <w:p>
      <w:pPr>
        <w:pStyle w:val="4"/>
        <w:numPr>
          <w:ilvl w:val="2"/>
          <w:numId w:val="5"/>
        </w:numPr>
      </w:pPr>
      <w:bookmarkStart w:id="16" w:name="_Toc12964283"/>
      <w:bookmarkStart w:id="17" w:name="_Toc77021322"/>
      <w:r>
        <w:rPr>
          <w:rFonts w:hint="eastAsia"/>
        </w:rPr>
        <w:t>材料员职责及分工</w:t>
      </w:r>
      <w:bookmarkEnd w:id="16"/>
      <w:bookmarkEnd w:id="17"/>
    </w:p>
    <w:p>
      <w:pPr>
        <w:pStyle w:val="6"/>
      </w:pPr>
      <w:r>
        <w:rPr>
          <w:rFonts w:hint="eastAsia"/>
        </w:rPr>
        <w:t>主管工程项目材料工作，对项目副经理负责；</w:t>
      </w:r>
    </w:p>
    <w:p>
      <w:pPr>
        <w:pStyle w:val="6"/>
      </w:pPr>
      <w:r>
        <w:rPr>
          <w:rFonts w:hint="eastAsia"/>
        </w:rPr>
        <w:t>负责项目部材料管理，建立完整的材料台帐（包括所有材料的进货记录及出库记录，补料申请记录）；</w:t>
      </w:r>
    </w:p>
    <w:p>
      <w:pPr>
        <w:pStyle w:val="6"/>
      </w:pPr>
      <w:r>
        <w:rPr>
          <w:rFonts w:hint="eastAsia"/>
        </w:rPr>
        <w:t>负责对照进度计划编制工程材料的进场计划（含周计划和月计划）；</w:t>
      </w:r>
    </w:p>
    <w:p>
      <w:pPr>
        <w:pStyle w:val="6"/>
      </w:pPr>
      <w:r>
        <w:rPr>
          <w:rFonts w:hint="eastAsia"/>
        </w:rPr>
        <w:t>接受设计发放的下料单、图纸、送货单，并妥善保管和分发；</w:t>
      </w:r>
    </w:p>
    <w:p>
      <w:pPr>
        <w:pStyle w:val="6"/>
      </w:pPr>
      <w:r>
        <w:rPr>
          <w:rFonts w:hint="eastAsia"/>
        </w:rPr>
        <w:t>根据派工单编制领料单并监督执行现场领用手续；</w:t>
      </w:r>
    </w:p>
    <w:p>
      <w:pPr>
        <w:pStyle w:val="6"/>
      </w:pPr>
      <w:r>
        <w:rPr>
          <w:rFonts w:hint="eastAsia"/>
        </w:rPr>
        <w:t>及时反馈现场缺料信息并负责催料；</w:t>
      </w:r>
    </w:p>
    <w:p>
      <w:pPr>
        <w:pStyle w:val="6"/>
      </w:pPr>
      <w:r>
        <w:rPr>
          <w:rFonts w:hint="eastAsia"/>
        </w:rPr>
        <w:t>负责协助仓管每月月底对项目部仓库的盘点工作，并上报材料报表；</w:t>
      </w:r>
    </w:p>
    <w:p>
      <w:pPr>
        <w:pStyle w:val="6"/>
      </w:pPr>
      <w:r>
        <w:rPr>
          <w:rFonts w:hint="eastAsia"/>
        </w:rPr>
        <w:t>督促仓管员作好材料标识，合理存放，保证堆放整齐有序，使工地现场的成品及半成品能有效管理；负责办理退回材料的手续。</w:t>
      </w:r>
    </w:p>
    <w:p>
      <w:pPr>
        <w:pStyle w:val="4"/>
        <w:numPr>
          <w:ilvl w:val="2"/>
          <w:numId w:val="5"/>
        </w:numPr>
      </w:pPr>
      <w:bookmarkStart w:id="18" w:name="_Toc77021323"/>
      <w:bookmarkStart w:id="19" w:name="_Toc12964284"/>
      <w:r>
        <w:rPr>
          <w:rFonts w:hint="eastAsia"/>
        </w:rPr>
        <w:t>质检员职责及分工</w:t>
      </w:r>
      <w:bookmarkEnd w:id="18"/>
      <w:bookmarkEnd w:id="19"/>
    </w:p>
    <w:p>
      <w:pPr>
        <w:pStyle w:val="6"/>
      </w:pPr>
      <w:r>
        <w:rPr>
          <w:rFonts w:hint="eastAsia"/>
        </w:rPr>
        <w:t>主管各施工区域现场施工质检日常工作，切实做好现场施工各工序质检日记，规范各项质量记录文件，对项目副经理负责；</w:t>
      </w:r>
    </w:p>
    <w:p>
      <w:pPr>
        <w:pStyle w:val="6"/>
      </w:pPr>
      <w:r>
        <w:rPr>
          <w:rFonts w:hint="eastAsia"/>
        </w:rPr>
        <w:t>编制项目质量计划、安装工序检验计划；</w:t>
      </w:r>
    </w:p>
    <w:p>
      <w:pPr>
        <w:pStyle w:val="6"/>
      </w:pPr>
      <w:r>
        <w:rPr>
          <w:rFonts w:hint="eastAsia"/>
        </w:rPr>
        <w:t>现场跟班对质量、</w:t>
      </w:r>
      <w:r>
        <w:t xml:space="preserve">ISO9000 </w:t>
      </w:r>
      <w:r>
        <w:rPr>
          <w:rFonts w:hint="eastAsia"/>
        </w:rPr>
        <w:t>体系运行进行监督；</w:t>
      </w:r>
    </w:p>
    <w:p>
      <w:pPr>
        <w:pStyle w:val="6"/>
      </w:pPr>
      <w:r>
        <w:rPr>
          <w:rFonts w:hint="eastAsia"/>
        </w:rPr>
        <w:t>检查施工现场是否按照施工图和工艺规程（即施工质量计划）施工，是否符合行业标准和技术规范的要求；</w:t>
      </w:r>
    </w:p>
    <w:p>
      <w:pPr>
        <w:pStyle w:val="6"/>
      </w:pPr>
      <w:r>
        <w:rPr>
          <w:rFonts w:hint="eastAsia"/>
        </w:rPr>
        <w:t>负责基准点、标高、轴线的复核校验；</w:t>
      </w:r>
    </w:p>
    <w:p>
      <w:pPr>
        <w:pStyle w:val="6"/>
      </w:pPr>
      <w:r>
        <w:rPr>
          <w:rFonts w:hint="eastAsia"/>
        </w:rPr>
        <w:t>检查场内材料堆放、标识是否符合要求，产品保护措施是否到位；</w:t>
      </w:r>
    </w:p>
    <w:p>
      <w:pPr>
        <w:pStyle w:val="6"/>
      </w:pPr>
      <w:r>
        <w:rPr>
          <w:rFonts w:hint="eastAsia"/>
        </w:rPr>
        <w:t>负责进场材料、安装样板、隐蔽工程、完工工程的检验，填写分项工程检测评定表，隐蔽验收报告，办理报验和验收签证手续；</w:t>
      </w:r>
    </w:p>
    <w:p>
      <w:pPr>
        <w:pStyle w:val="6"/>
      </w:pPr>
      <w:r>
        <w:rPr>
          <w:rFonts w:hint="eastAsia"/>
        </w:rPr>
        <w:t>负责对安装不合格发出整改或不合格报告，性质严重的下达罚款停工通知，并对整改项目进行跟踪；</w:t>
      </w:r>
    </w:p>
    <w:p>
      <w:pPr>
        <w:pStyle w:val="6"/>
      </w:pPr>
      <w:r>
        <w:rPr>
          <w:rFonts w:hint="eastAsia"/>
        </w:rPr>
        <w:t>参与竣工工程内部验收及质量等级评定；</w:t>
      </w:r>
    </w:p>
    <w:p>
      <w:pPr>
        <w:pStyle w:val="6"/>
      </w:pPr>
      <w:r>
        <w:rPr>
          <w:rFonts w:hint="eastAsia"/>
        </w:rPr>
        <w:t>参与竣工工程内部验收及质量记录，按时填写质量监理日记，要求字迹清楚、数据准确，竣工验收时交付全部质量检验和性能测试资料；</w:t>
      </w:r>
    </w:p>
    <w:p>
      <w:pPr>
        <w:pStyle w:val="6"/>
      </w:pPr>
      <w:r>
        <w:rPr>
          <w:rFonts w:hint="eastAsia"/>
        </w:rPr>
        <w:t>参与重大质量问题的处理，协助项目部经理搞好外部（业主、监理、质检站）协调工作；</w:t>
      </w:r>
    </w:p>
    <w:p>
      <w:pPr>
        <w:pStyle w:val="6"/>
      </w:pPr>
      <w:r>
        <w:rPr>
          <w:rFonts w:hint="eastAsia"/>
        </w:rPr>
        <w:t>定期编制周报与月报，及时对工程处上报的月进度确认、签证；</w:t>
      </w:r>
    </w:p>
    <w:p>
      <w:pPr>
        <w:pStyle w:val="4"/>
        <w:numPr>
          <w:ilvl w:val="2"/>
          <w:numId w:val="5"/>
        </w:numPr>
      </w:pPr>
      <w:bookmarkStart w:id="20" w:name="_Toc12964285"/>
      <w:bookmarkStart w:id="21" w:name="_Toc77021324"/>
      <w:r>
        <w:rPr>
          <w:rFonts w:hint="eastAsia"/>
        </w:rPr>
        <w:t>安全员职责及分工</w:t>
      </w:r>
      <w:bookmarkEnd w:id="20"/>
      <w:bookmarkEnd w:id="21"/>
    </w:p>
    <w:p>
      <w:pPr>
        <w:pStyle w:val="6"/>
      </w:pPr>
      <w:r>
        <w:rPr>
          <w:rFonts w:hint="eastAsia"/>
        </w:rPr>
        <w:t>主管项目安全、文明施工、环境保护及消防保安等日常工作，切实做好安全、文明施工、环境保护及消防保安等日记，检查施工现场的安全设施等，对项目副经理负责。</w:t>
      </w:r>
    </w:p>
    <w:p>
      <w:pPr>
        <w:pStyle w:val="6"/>
      </w:pPr>
      <w:r>
        <w:rPr>
          <w:rFonts w:hint="eastAsia"/>
        </w:rPr>
        <w:t>贯彻执行安全法规、条例、标准、规定，做好宣传教育和管理工作，编制安全技术施工方案并组织实施；</w:t>
      </w:r>
    </w:p>
    <w:p>
      <w:pPr>
        <w:pStyle w:val="6"/>
      </w:pPr>
      <w:r>
        <w:rPr>
          <w:rFonts w:hint="eastAsia"/>
        </w:rPr>
        <w:t>组织员工学习安全操作规程，进行安全技术交底，教育员工不违章作业；</w:t>
      </w:r>
    </w:p>
    <w:p>
      <w:pPr>
        <w:pStyle w:val="6"/>
      </w:pPr>
      <w:r>
        <w:rPr>
          <w:rFonts w:hint="eastAsia"/>
        </w:rPr>
        <w:t>对新员工进行安全教育、培训和考核；</w:t>
      </w:r>
    </w:p>
    <w:p>
      <w:pPr>
        <w:pStyle w:val="6"/>
      </w:pPr>
      <w:r>
        <w:rPr>
          <w:rFonts w:hint="eastAsia"/>
        </w:rPr>
        <w:t>巡查施工现场，调查研究生产中的不安全因素，提出改进意见和措施；</w:t>
      </w:r>
    </w:p>
    <w:p>
      <w:pPr>
        <w:pStyle w:val="6"/>
      </w:pPr>
      <w:r>
        <w:rPr>
          <w:rFonts w:hint="eastAsia"/>
        </w:rPr>
        <w:t>对施工现场搭设的脚手架、垂直运输设备、施工吊篮、临时用电装置和电动机具等安全防护设施组织验收；</w:t>
      </w:r>
    </w:p>
    <w:p>
      <w:pPr>
        <w:pStyle w:val="6"/>
      </w:pPr>
      <w:r>
        <w:rPr>
          <w:rFonts w:hint="eastAsia"/>
        </w:rPr>
        <w:t>发生工伤事故应先立即抢救伤员，并立即上报事故，并做好现场保护和调查处理；</w:t>
      </w:r>
    </w:p>
    <w:p>
      <w:pPr>
        <w:pStyle w:val="6"/>
      </w:pPr>
      <w:r>
        <w:rPr>
          <w:rFonts w:hint="eastAsia"/>
        </w:rPr>
        <w:t>制止违章指挥，遇有严重违章，有权暂停施工，并报告领导处理。对违章行为有权提出处罚意见；</w:t>
      </w:r>
    </w:p>
    <w:p>
      <w:pPr>
        <w:pStyle w:val="6"/>
      </w:pPr>
      <w:r>
        <w:rPr>
          <w:rFonts w:hint="eastAsia"/>
        </w:rPr>
        <w:t>具体负责现场施工设备的管理，建立设备台帐；</w:t>
      </w:r>
    </w:p>
    <w:p>
      <w:pPr>
        <w:pStyle w:val="6"/>
      </w:pPr>
      <w:r>
        <w:rPr>
          <w:rFonts w:hint="eastAsia"/>
        </w:rPr>
        <w:t>负责协调当地法定环境和职业健康安全监督、监测部门对施工现场的污染排放、职业健康安全行业进行监测；</w:t>
      </w:r>
    </w:p>
    <w:p>
      <w:pPr>
        <w:pStyle w:val="6"/>
      </w:pPr>
      <w:r>
        <w:rPr>
          <w:rFonts w:hint="eastAsia"/>
        </w:rPr>
        <w:t>负责落实施工队伍的三级安全教育，组织员工进行环境和安全意识的教育培训。</w:t>
      </w:r>
    </w:p>
    <w:p>
      <w:pPr>
        <w:pStyle w:val="4"/>
        <w:numPr>
          <w:ilvl w:val="2"/>
          <w:numId w:val="5"/>
        </w:numPr>
      </w:pPr>
      <w:bookmarkStart w:id="22" w:name="_Toc12964286"/>
      <w:bookmarkStart w:id="23" w:name="_Toc77021325"/>
      <w:r>
        <w:rPr>
          <w:rFonts w:hint="eastAsia"/>
        </w:rPr>
        <w:t>资料员职责及分工</w:t>
      </w:r>
      <w:bookmarkEnd w:id="22"/>
      <w:bookmarkEnd w:id="23"/>
    </w:p>
    <w:p>
      <w:pPr>
        <w:pStyle w:val="6"/>
      </w:pPr>
      <w:r>
        <w:rPr>
          <w:rFonts w:hint="eastAsia"/>
        </w:rPr>
        <w:t>负责公司质量体系文件的领取，登记，标识，发放，借阅回收工作。</w:t>
      </w:r>
    </w:p>
    <w:p>
      <w:pPr>
        <w:pStyle w:val="6"/>
      </w:pPr>
      <w:r>
        <w:rPr>
          <w:rFonts w:hint="eastAsia"/>
        </w:rPr>
        <w:t>负责外来文件收发、传送、保管、分类、整理和归档工作。</w:t>
      </w:r>
    </w:p>
    <w:p>
      <w:pPr>
        <w:pStyle w:val="6"/>
      </w:pPr>
      <w:r>
        <w:rPr>
          <w:rFonts w:hint="eastAsia"/>
        </w:rPr>
        <w:t>负责材料资料、工程验收资料的编写及其它一次性资料之收发、传送、保管、分类、整理和归档工作。</w:t>
      </w:r>
    </w:p>
    <w:p>
      <w:pPr>
        <w:pStyle w:val="4"/>
        <w:numPr>
          <w:ilvl w:val="2"/>
          <w:numId w:val="5"/>
        </w:numPr>
      </w:pPr>
      <w:bookmarkStart w:id="24" w:name="_Toc77021326"/>
      <w:bookmarkStart w:id="25" w:name="_Toc12964287"/>
      <w:r>
        <w:rPr>
          <w:rFonts w:hint="eastAsia"/>
        </w:rPr>
        <w:t>测量员职责及分工</w:t>
      </w:r>
      <w:bookmarkEnd w:id="24"/>
      <w:bookmarkEnd w:id="25"/>
    </w:p>
    <w:p>
      <w:pPr>
        <w:pStyle w:val="6"/>
      </w:pPr>
      <w:r>
        <w:rPr>
          <w:rFonts w:hint="eastAsia"/>
        </w:rPr>
        <w:t>负责工程的测量放线及定位。</w:t>
      </w:r>
    </w:p>
    <w:p>
      <w:pPr>
        <w:pStyle w:val="6"/>
      </w:pPr>
      <w:r>
        <w:rPr>
          <w:rFonts w:hint="eastAsia"/>
        </w:rPr>
        <w:t>复核土建提供的基准线及基准点。</w:t>
      </w:r>
    </w:p>
    <w:p>
      <w:pPr>
        <w:pStyle w:val="6"/>
      </w:pPr>
      <w:r>
        <w:rPr>
          <w:rFonts w:hint="eastAsia"/>
        </w:rPr>
        <w:t>负责对安装精度的控制与检测。</w:t>
      </w:r>
    </w:p>
    <w:p>
      <w:pPr>
        <w:pStyle w:val="6"/>
      </w:pPr>
      <w:r>
        <w:rPr>
          <w:rFonts w:hint="eastAsia"/>
        </w:rPr>
        <w:t>负责对施工队的技术交底。</w:t>
      </w:r>
    </w:p>
    <w:p>
      <w:pPr>
        <w:pStyle w:val="4"/>
        <w:numPr>
          <w:ilvl w:val="2"/>
          <w:numId w:val="5"/>
        </w:numPr>
      </w:pPr>
      <w:bookmarkStart w:id="26" w:name="_Toc77021327"/>
      <w:bookmarkStart w:id="27" w:name="_Toc12964288"/>
      <w:r>
        <w:rPr>
          <w:rFonts w:hint="eastAsia"/>
        </w:rPr>
        <w:t>预算员职责及分工</w:t>
      </w:r>
      <w:bookmarkEnd w:id="26"/>
      <w:bookmarkEnd w:id="27"/>
    </w:p>
    <w:p>
      <w:pPr>
        <w:pStyle w:val="6"/>
      </w:pPr>
      <w:r>
        <w:rPr>
          <w:rFonts w:hint="eastAsia"/>
        </w:rPr>
        <w:t>编制初步预算和施工预算</w:t>
      </w:r>
    </w:p>
    <w:p>
      <w:pPr>
        <w:pStyle w:val="6"/>
      </w:pPr>
      <w:r>
        <w:rPr>
          <w:rFonts w:hint="eastAsia"/>
        </w:rPr>
        <w:t>施工预算的分解，确立工程施工过程中的各阶段，各部门的预算控制目标</w:t>
      </w:r>
    </w:p>
    <w:p>
      <w:pPr>
        <w:pStyle w:val="6"/>
      </w:pPr>
      <w:r>
        <w:rPr>
          <w:rFonts w:hint="eastAsia"/>
        </w:rPr>
        <w:t>监督各阶段各部门的预算进行情况</w:t>
      </w:r>
    </w:p>
    <w:p>
      <w:pPr>
        <w:pStyle w:val="6"/>
      </w:pPr>
      <w:r>
        <w:rPr>
          <w:rFonts w:hint="eastAsia"/>
        </w:rPr>
        <w:t>预算的追加与消减，根据施工实际情况合理调整工程施工预算</w:t>
      </w:r>
    </w:p>
    <w:p>
      <w:pPr>
        <w:pStyle w:val="6"/>
      </w:pPr>
      <w:r>
        <w:rPr>
          <w:rFonts w:hint="eastAsia"/>
        </w:rPr>
        <w:t>就成本控制，资金平衡向项目经理提出合理化建议</w:t>
      </w:r>
    </w:p>
    <w:p>
      <w:pPr>
        <w:pStyle w:val="6"/>
        <w:rPr>
          <w:rFonts w:hint="eastAsia"/>
        </w:rPr>
      </w:pPr>
      <w:r>
        <w:rPr>
          <w:rFonts w:hint="eastAsia"/>
        </w:rPr>
        <w:t>参与工程结决算并对工程施工预算的执行情况进行总结，分析，形成书面报告。</w:t>
      </w:r>
    </w:p>
    <w:p>
      <w:pPr>
        <w:pStyle w:val="6"/>
        <w:rPr>
          <w:rFonts w:hint="eastAsia"/>
        </w:rPr>
      </w:pPr>
    </w:p>
    <w:p>
      <w:pPr>
        <w:pStyle w:val="6"/>
        <w:rPr>
          <w:rFonts w:hint="eastAsia"/>
        </w:rPr>
      </w:pPr>
    </w:p>
    <w:p>
      <w:pPr>
        <w:numPr>
          <w:ilvl w:val="0"/>
          <w:numId w:val="4"/>
        </w:numPr>
        <w:spacing w:line="360" w:lineRule="auto"/>
        <w:rPr>
          <w:rFonts w:hint="eastAsia"/>
          <w:b/>
          <w:bCs/>
          <w:sz w:val="24"/>
          <w:lang w:val="en-US" w:eastAsia="zh-CN"/>
        </w:rPr>
      </w:pPr>
      <w:r>
        <w:rPr>
          <w:rFonts w:hint="eastAsia"/>
          <w:b/>
          <w:bCs/>
          <w:sz w:val="24"/>
          <w:lang w:val="en-US" w:eastAsia="zh-CN"/>
        </w:rPr>
        <w:t>主要管理制度</w:t>
      </w:r>
    </w:p>
    <w:p>
      <w:pPr>
        <w:pStyle w:val="5"/>
        <w:ind w:left="0" w:firstLine="422" w:firstLineChars="200"/>
      </w:pPr>
      <w:bookmarkStart w:id="28" w:name="_Toc528853186"/>
      <w:bookmarkStart w:id="29" w:name="_Toc12964391"/>
      <w:bookmarkStart w:id="30" w:name="_Toc77021460"/>
      <w:bookmarkStart w:id="31" w:name="_Toc521841004"/>
      <w:r>
        <w:rPr>
          <w:rFonts w:hint="eastAsia"/>
        </w:rPr>
        <w:t>质量管理制度</w:t>
      </w:r>
    </w:p>
    <w:tbl>
      <w:tblPr>
        <w:tblStyle w:val="9"/>
        <w:tblW w:w="9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8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879" w:type="dxa"/>
            <w:shd w:val="clear" w:color="auto" w:fill="DAEEF3"/>
            <w:vAlign w:val="center"/>
          </w:tcPr>
          <w:p>
            <w:pPr>
              <w:pStyle w:val="12"/>
            </w:pPr>
            <w:r>
              <w:rPr>
                <w:rFonts w:hint="eastAsia"/>
              </w:rPr>
              <w:t>序号</w:t>
            </w:r>
          </w:p>
        </w:tc>
        <w:tc>
          <w:tcPr>
            <w:tcW w:w="8500" w:type="dxa"/>
            <w:shd w:val="clear" w:color="auto" w:fill="DAEEF3"/>
            <w:vAlign w:val="center"/>
          </w:tcPr>
          <w:p>
            <w:pPr>
              <w:pStyle w:val="12"/>
            </w:pPr>
            <w:r>
              <w:rPr>
                <w:rFonts w:hint="eastAsia"/>
              </w:rPr>
              <w:t>施工质量管理措施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879" w:type="dxa"/>
            <w:vAlign w:val="center"/>
          </w:tcPr>
          <w:p>
            <w:pPr>
              <w:pStyle w:val="12"/>
            </w:pPr>
            <w:r>
              <w:t>1</w:t>
            </w:r>
          </w:p>
        </w:tc>
        <w:tc>
          <w:tcPr>
            <w:tcW w:w="8500" w:type="dxa"/>
          </w:tcPr>
          <w:p>
            <w:pPr>
              <w:pStyle w:val="13"/>
            </w:pPr>
            <w:r>
              <w:rPr>
                <w:rFonts w:hint="eastAsia"/>
              </w:rPr>
              <w:t>除严格把好材料进场关外，还应加强供货商评审、测量装置（计量仪器）、数据分析等管理。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jc w:val="center"/>
        </w:trPr>
        <w:tc>
          <w:tcPr>
            <w:tcW w:w="879" w:type="dxa"/>
            <w:vAlign w:val="center"/>
          </w:tcPr>
          <w:p>
            <w:pPr>
              <w:pStyle w:val="12"/>
            </w:pPr>
            <w:r>
              <w:t>2</w:t>
            </w:r>
          </w:p>
        </w:tc>
        <w:tc>
          <w:tcPr>
            <w:tcW w:w="8500" w:type="dxa"/>
          </w:tcPr>
          <w:p>
            <w:pPr>
              <w:pStyle w:val="13"/>
            </w:pPr>
            <w:r>
              <w:rPr>
                <w:rFonts w:hint="eastAsia"/>
              </w:rPr>
              <w:t>制定《技术质量管理岗位责任制》、《技术质量管理制度》，落实奖罚制度，依据质量验收标准和规范，制定《技术质量管理办法》，重视施工准备（含技术交底准备）、过程检验。杜绝不合格产品进入下一道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jc w:val="center"/>
        </w:trPr>
        <w:tc>
          <w:tcPr>
            <w:tcW w:w="879" w:type="dxa"/>
            <w:vAlign w:val="center"/>
          </w:tcPr>
          <w:p>
            <w:pPr>
              <w:pStyle w:val="12"/>
            </w:pPr>
            <w:r>
              <w:t>3</w:t>
            </w:r>
          </w:p>
        </w:tc>
        <w:tc>
          <w:tcPr>
            <w:tcW w:w="8500" w:type="dxa"/>
          </w:tcPr>
          <w:p>
            <w:pPr>
              <w:pStyle w:val="13"/>
            </w:pPr>
            <w:r>
              <w:rPr>
                <w:rFonts w:hint="eastAsia"/>
              </w:rPr>
              <w:t>做好施工组织设计和施工方案的优化工作，施工组织设计、施工方案必须经项目经理和总承包商、监理审批后方可实行。在施工过程中，施工人员必须严格按照施工组织设计的要求实施，不得随意更改。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879" w:type="dxa"/>
            <w:vAlign w:val="center"/>
          </w:tcPr>
          <w:p>
            <w:pPr>
              <w:pStyle w:val="12"/>
            </w:pPr>
            <w:r>
              <w:t>4</w:t>
            </w:r>
          </w:p>
        </w:tc>
        <w:tc>
          <w:tcPr>
            <w:tcW w:w="8500" w:type="dxa"/>
          </w:tcPr>
          <w:p>
            <w:pPr>
              <w:pStyle w:val="13"/>
            </w:pPr>
            <w:r>
              <w:rPr>
                <w:rFonts w:hint="eastAsia"/>
              </w:rPr>
              <w:t>做好图纸会审和各种交底工作，让施工人员领会设计意图和质量技术要求。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879" w:type="dxa"/>
            <w:vAlign w:val="center"/>
          </w:tcPr>
          <w:p>
            <w:pPr>
              <w:pStyle w:val="12"/>
            </w:pPr>
            <w:r>
              <w:t>5</w:t>
            </w:r>
          </w:p>
        </w:tc>
        <w:tc>
          <w:tcPr>
            <w:tcW w:w="8500" w:type="dxa"/>
          </w:tcPr>
          <w:p>
            <w:pPr>
              <w:pStyle w:val="13"/>
            </w:pPr>
            <w:r>
              <w:rPr>
                <w:rFonts w:hint="eastAsia"/>
              </w:rPr>
              <w:t>施工人员及管理人员必须严格执行国家建设部颁发的现行规范、规程、标准及技术文件组织施工，任何人不得随意更改。发现问题及时上报。并会同相关人员、部门研究处理。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879" w:type="dxa"/>
            <w:vAlign w:val="center"/>
          </w:tcPr>
          <w:p>
            <w:pPr>
              <w:pStyle w:val="12"/>
            </w:pPr>
            <w:r>
              <w:t>6</w:t>
            </w:r>
          </w:p>
        </w:tc>
        <w:tc>
          <w:tcPr>
            <w:tcW w:w="8500" w:type="dxa"/>
          </w:tcPr>
          <w:p>
            <w:pPr>
              <w:pStyle w:val="13"/>
            </w:pPr>
            <w:r>
              <w:rPr>
                <w:rFonts w:hint="eastAsia"/>
              </w:rPr>
              <w:t>项目部建立起按</w:t>
            </w:r>
            <w:r>
              <w:t>ISO9001</w:t>
            </w:r>
            <w:r>
              <w:rPr>
                <w:rFonts w:hint="eastAsia"/>
              </w:rPr>
              <w:t>：</w:t>
            </w:r>
            <w:r>
              <w:t>2000</w:t>
            </w:r>
            <w:r>
              <w:rPr>
                <w:rFonts w:hint="eastAsia"/>
              </w:rPr>
              <w:t>体系要求编制的运行表格填写制度。预先控制质量事故的发生。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jc w:val="center"/>
        </w:trPr>
        <w:tc>
          <w:tcPr>
            <w:tcW w:w="879" w:type="dxa"/>
            <w:vAlign w:val="center"/>
          </w:tcPr>
          <w:p>
            <w:pPr>
              <w:pStyle w:val="12"/>
            </w:pPr>
            <w:r>
              <w:t>7</w:t>
            </w:r>
          </w:p>
        </w:tc>
        <w:tc>
          <w:tcPr>
            <w:tcW w:w="8500" w:type="dxa"/>
          </w:tcPr>
          <w:p>
            <w:pPr>
              <w:pStyle w:val="13"/>
            </w:pPr>
            <w:r>
              <w:rPr>
                <w:rFonts w:hint="eastAsia"/>
              </w:rPr>
              <w:t>质检员实行现场施工过程的质量监督、施工过程中发现问题及时处理。对不按设计要求、施工验收规范、操作规程及施工方案的行为，质检员有权停止现场施工、并勒令其现场整改。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879" w:type="dxa"/>
            <w:vAlign w:val="center"/>
          </w:tcPr>
          <w:p>
            <w:pPr>
              <w:pStyle w:val="12"/>
            </w:pPr>
            <w:r>
              <w:t>8</w:t>
            </w:r>
          </w:p>
        </w:tc>
        <w:tc>
          <w:tcPr>
            <w:tcW w:w="8500" w:type="dxa"/>
          </w:tcPr>
          <w:p>
            <w:pPr>
              <w:pStyle w:val="13"/>
            </w:pPr>
            <w:r>
              <w:rPr>
                <w:rFonts w:hint="eastAsia"/>
              </w:rPr>
              <w:t>健全交接制、把好施工制作、测量、试验关。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879" w:type="dxa"/>
            <w:vAlign w:val="center"/>
          </w:tcPr>
          <w:p>
            <w:pPr>
              <w:pStyle w:val="12"/>
            </w:pPr>
            <w:r>
              <w:t>9</w:t>
            </w:r>
          </w:p>
        </w:tc>
        <w:tc>
          <w:tcPr>
            <w:tcW w:w="8500" w:type="dxa"/>
          </w:tcPr>
          <w:p>
            <w:pPr>
              <w:pStyle w:val="13"/>
            </w:pPr>
            <w:r>
              <w:rPr>
                <w:rFonts w:hint="eastAsia"/>
              </w:rPr>
              <w:t>对影响质量的关键部位及主要工序，在施工前编制专题施工方案，用以指导现场施工，提高工程质量。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79" w:type="dxa"/>
            <w:vAlign w:val="center"/>
          </w:tcPr>
          <w:p>
            <w:pPr>
              <w:pStyle w:val="12"/>
            </w:pPr>
            <w:r>
              <w:t>10</w:t>
            </w:r>
          </w:p>
        </w:tc>
        <w:tc>
          <w:tcPr>
            <w:tcW w:w="8500" w:type="dxa"/>
          </w:tcPr>
          <w:p>
            <w:pPr>
              <w:pStyle w:val="13"/>
            </w:pPr>
            <w:r>
              <w:rPr>
                <w:rFonts w:hint="eastAsia"/>
              </w:rPr>
              <w:t>认真做好计量工作，用数据说话，保证施工用料的定额用量。</w:t>
            </w:r>
          </w:p>
        </w:tc>
      </w:tr>
    </w:tbl>
    <w:p>
      <w:pPr>
        <w:pStyle w:val="5"/>
        <w:ind w:left="0" w:firstLine="422" w:firstLineChars="200"/>
        <w:rPr>
          <w:rFonts w:hint="eastAsia"/>
          <w:lang w:val="en-US" w:eastAsia="zh-CN"/>
        </w:rPr>
      </w:pPr>
      <w:r>
        <w:rPr>
          <w:rFonts w:hint="eastAsia"/>
          <w:lang w:eastAsia="zh-CN"/>
        </w:rPr>
        <w:t>工期</w:t>
      </w:r>
      <w:r>
        <w:rPr>
          <w:rFonts w:hint="eastAsia"/>
        </w:rPr>
        <w:t>管理制度</w:t>
      </w:r>
    </w:p>
    <w:p>
      <w:pPr>
        <w:pStyle w:val="6"/>
        <w:rPr>
          <w:rFonts w:hint="eastAsia"/>
          <w:lang w:val="en-US" w:eastAsia="zh-CN"/>
        </w:rPr>
      </w:pPr>
      <w:r>
        <w:rPr>
          <w:rFonts w:hint="eastAsia"/>
          <w:lang w:val="en-US" w:eastAsia="zh-CN"/>
        </w:rPr>
        <w:t>1）增加劳动力，加快施工进度，以避免后期未知因素所带来的误工；</w:t>
      </w:r>
    </w:p>
    <w:p>
      <w:pPr>
        <w:pStyle w:val="6"/>
        <w:rPr>
          <w:rFonts w:hint="eastAsia"/>
          <w:lang w:val="en-US" w:eastAsia="zh-CN"/>
        </w:rPr>
      </w:pPr>
      <w:r>
        <w:rPr>
          <w:rFonts w:hint="eastAsia"/>
          <w:lang w:val="en-US" w:eastAsia="zh-CN"/>
        </w:rPr>
        <w:t>2）建立天气预报预警小组，随时关注天气变化情况，提前做好相应的雨水天气的预防措施，尽量减少雨水天气对工程的影响。造成工程返工，从而保证施工进度；</w:t>
      </w:r>
    </w:p>
    <w:p>
      <w:pPr>
        <w:pStyle w:val="6"/>
        <w:rPr>
          <w:rFonts w:hint="eastAsia"/>
          <w:lang w:val="en-US" w:eastAsia="zh-CN"/>
        </w:rPr>
      </w:pPr>
      <w:r>
        <w:rPr>
          <w:rFonts w:hint="eastAsia"/>
          <w:lang w:val="en-US" w:eastAsia="zh-CN"/>
        </w:rPr>
        <w:t>3）开展多作业面平行作业。</w:t>
      </w:r>
    </w:p>
    <w:p>
      <w:pPr>
        <w:pStyle w:val="6"/>
        <w:rPr>
          <w:rFonts w:hint="eastAsia"/>
          <w:lang w:val="en-US" w:eastAsia="zh-CN"/>
        </w:rPr>
      </w:pPr>
      <w:r>
        <w:rPr>
          <w:rFonts w:hint="eastAsia"/>
          <w:lang w:val="en-US" w:eastAsia="zh-CN"/>
        </w:rPr>
        <w:t>支护结构在保证质量和安全的前提下，开展多工作面平行作业，使得各工序间能穿插作业，减小相互影响，加快循环作业时间。</w:t>
      </w:r>
    </w:p>
    <w:p>
      <w:pPr>
        <w:pStyle w:val="6"/>
        <w:rPr>
          <w:rFonts w:hint="eastAsia"/>
          <w:lang w:val="en-US" w:eastAsia="zh-CN"/>
        </w:rPr>
      </w:pPr>
      <w:r>
        <w:rPr>
          <w:rFonts w:hint="eastAsia"/>
          <w:lang w:val="en-US" w:eastAsia="zh-CN"/>
        </w:rPr>
        <w:t>4）做好成品保护，减少返修率。</w:t>
      </w:r>
    </w:p>
    <w:p>
      <w:pPr>
        <w:pStyle w:val="6"/>
        <w:rPr>
          <w:rFonts w:hint="eastAsia"/>
          <w:lang w:val="en-US" w:eastAsia="zh-CN"/>
        </w:rPr>
      </w:pPr>
      <w:r>
        <w:rPr>
          <w:rFonts w:hint="eastAsia"/>
          <w:lang w:val="en-US" w:eastAsia="zh-CN"/>
        </w:rPr>
        <w:t>对完成的成品、半成品制定相应的保护措施，安排专人负责，保证成品、半成品质量，以保证顺利交验或进行下一道工序，防止因返工增加工期。</w:t>
      </w:r>
    </w:p>
    <w:p>
      <w:pPr>
        <w:pStyle w:val="6"/>
        <w:rPr>
          <w:rFonts w:hint="eastAsia"/>
          <w:lang w:val="en-US" w:eastAsia="zh-CN"/>
        </w:rPr>
      </w:pPr>
      <w:r>
        <w:rPr>
          <w:rFonts w:hint="eastAsia"/>
          <w:lang w:val="en-US" w:eastAsia="zh-CN"/>
        </w:rPr>
        <w:t>5）采取技术措施，改善施工环境。</w:t>
      </w:r>
    </w:p>
    <w:p>
      <w:pPr>
        <w:pStyle w:val="6"/>
        <w:rPr>
          <w:rFonts w:hint="eastAsia"/>
          <w:lang w:val="en-US" w:eastAsia="zh-CN"/>
        </w:rPr>
      </w:pPr>
      <w:r>
        <w:rPr>
          <w:rFonts w:hint="eastAsia"/>
          <w:lang w:val="en-US" w:eastAsia="zh-CN"/>
        </w:rPr>
        <w:t>根据我单位的经验和优势，针对对施工进度造成影响的各种因素，采取可靠的措施为施工创造良好的条件，从而保证施工安全，提高施工进度。</w:t>
      </w:r>
    </w:p>
    <w:p>
      <w:pPr>
        <w:pStyle w:val="6"/>
        <w:rPr>
          <w:rFonts w:hint="eastAsia"/>
          <w:lang w:val="en-US" w:eastAsia="zh-CN"/>
        </w:rPr>
      </w:pPr>
    </w:p>
    <w:p>
      <w:pPr>
        <w:pStyle w:val="5"/>
        <w:ind w:left="0" w:firstLine="422" w:firstLineChars="200"/>
        <w:rPr>
          <w:rFonts w:hint="default"/>
          <w:lang w:val="en-US" w:eastAsia="zh-CN"/>
        </w:rPr>
      </w:pPr>
      <w:r>
        <w:rPr>
          <w:rFonts w:hint="eastAsia"/>
          <w:lang w:val="en-US" w:eastAsia="zh-CN"/>
        </w:rPr>
        <w:t>材料采购制度</w:t>
      </w:r>
    </w:p>
    <w:p>
      <w:pPr>
        <w:pStyle w:val="6"/>
      </w:pPr>
      <w:r>
        <w:rPr>
          <w:rFonts w:hint="eastAsia"/>
        </w:rPr>
        <w:t>1、材料的采购和使用严格按照相关工程技术规范和本项目招标文件中关于材料的规定去采购并确保符合设计之要求；</w:t>
      </w:r>
    </w:p>
    <w:p>
      <w:pPr>
        <w:pStyle w:val="6"/>
      </w:pPr>
      <w:r>
        <w:rPr>
          <w:rFonts w:hint="eastAsia"/>
        </w:rPr>
        <w:t>2、材料采购前，将严格对供应材料的生产厂家进行考核，考核合格后方可在该供料商进行材料采购。</w:t>
      </w:r>
    </w:p>
    <w:p>
      <w:pPr>
        <w:pStyle w:val="6"/>
      </w:pPr>
      <w:r>
        <w:rPr>
          <w:rFonts w:hint="eastAsia"/>
        </w:rPr>
        <w:t>3、合同签订后在规定的时间内，我司将向业主、监理工程师及设计院提交一份材料使用计划，内容包括本工程应采购的材料种类、名称、规格和数量；供货时间等，供其批复。</w:t>
      </w:r>
    </w:p>
    <w:p>
      <w:pPr>
        <w:pStyle w:val="6"/>
      </w:pPr>
      <w:r>
        <w:rPr>
          <w:rFonts w:hint="eastAsia"/>
        </w:rPr>
        <w:t>4、幕墙外装饰工程材料在正式订货前向业主提供供货厂家的相关资料，取得业主同意后方可订货。</w:t>
      </w:r>
    </w:p>
    <w:p>
      <w:pPr>
        <w:pStyle w:val="6"/>
      </w:pPr>
      <w:r>
        <w:rPr>
          <w:rFonts w:hint="eastAsia"/>
        </w:rPr>
        <w:t>5、所有运抵工地（除业主或指定分包商供应或外购）的材料，确保附有出厂证明书（标有厂名、材料名称、规格和数量、出厂时期和批号，试验报告和订货单副本）、合格证等资料供监理工程师审查。</w:t>
      </w:r>
    </w:p>
    <w:p>
      <w:pPr>
        <w:pStyle w:val="6"/>
      </w:pPr>
      <w:r>
        <w:rPr>
          <w:rFonts w:hint="eastAsia"/>
        </w:rPr>
        <w:t>6、我司承诺所有运至工地材料，确保按现行国家规范及行业规范及本工程要求进行抽样试验。</w:t>
      </w:r>
    </w:p>
    <w:p>
      <w:pPr>
        <w:pStyle w:val="6"/>
      </w:pPr>
      <w:r>
        <w:rPr>
          <w:rFonts w:hint="eastAsia"/>
        </w:rPr>
        <w:t>7、监理工程师验收合格后的材料，我司保证合理使用、运输和存放。</w:t>
      </w:r>
    </w:p>
    <w:p>
      <w:pPr>
        <w:pStyle w:val="6"/>
      </w:pPr>
      <w:r>
        <w:rPr>
          <w:rFonts w:hint="eastAsia"/>
        </w:rPr>
        <w:t>8、进口材料进场时，确保附有厂商的质量保证书、产品合格证、制造工艺流程表以及试验室提供的材料试验报告（化学成份和机械性能等）和进口贸易的商检证明和有相关的原始税票单据等。</w:t>
      </w:r>
    </w:p>
    <w:p>
      <w:pPr>
        <w:pStyle w:val="6"/>
      </w:pPr>
      <w:r>
        <w:rPr>
          <w:rFonts w:hint="eastAsia"/>
        </w:rPr>
        <w:t>9、原材料采购及进场计划的编制严格按照土建拟定的工程施工进度计划及我公司根据总进度计划表拟定的本项目分部分项工程进度计划进行，并保证材料采购及材料场计划配合现场的实际情况予以调整。保证不出现由于材料的问题造成现场停工待料。</w:t>
      </w:r>
    </w:p>
    <w:p>
      <w:pPr>
        <w:pStyle w:val="6"/>
      </w:pPr>
      <w:r>
        <w:rPr>
          <w:rFonts w:hint="eastAsia"/>
        </w:rPr>
        <w:t>10、材料监督</w:t>
      </w:r>
    </w:p>
    <w:p>
      <w:pPr>
        <w:pStyle w:val="6"/>
      </w:pPr>
      <w:r>
        <w:rPr>
          <w:rFonts w:hint="eastAsia"/>
        </w:rPr>
        <w:t>所有材料在工程验收之前的任何时间我司都将无条件接受检查、抽样、测试等，绝不使用未经批准的材料。</w:t>
      </w:r>
    </w:p>
    <w:p>
      <w:pPr>
        <w:pStyle w:val="6"/>
      </w:pPr>
      <w:r>
        <w:rPr>
          <w:rFonts w:hint="eastAsia"/>
        </w:rPr>
        <w:t>材料的取样、试验的过程均有业主、甲方或甲方委托的监理单位在场见证。试验结果报给甲方，我司也将存档备查。</w:t>
      </w:r>
    </w:p>
    <w:p>
      <w:pPr>
        <w:pStyle w:val="6"/>
      </w:pPr>
      <w:r>
        <w:rPr>
          <w:rFonts w:hint="eastAsia"/>
        </w:rPr>
        <w:t>工程施工期间，我司将配备足够人员随时配合监理工程师进行相关材料的抽样试验。</w:t>
      </w:r>
    </w:p>
    <w:p>
      <w:pPr>
        <w:pStyle w:val="5"/>
        <w:ind w:left="0" w:firstLine="422" w:firstLineChars="200"/>
        <w:rPr>
          <w:rFonts w:hint="eastAsia"/>
          <w:lang w:val="en-US" w:eastAsia="zh-CN"/>
        </w:rPr>
      </w:pPr>
      <w:r>
        <w:rPr>
          <w:rFonts w:hint="eastAsia"/>
          <w:lang w:val="en-US" w:eastAsia="zh-CN"/>
        </w:rPr>
        <w:t>劳动力保障制度</w:t>
      </w:r>
    </w:p>
    <w:p>
      <w:pPr>
        <w:pStyle w:val="13"/>
        <w:ind w:firstLine="420" w:firstLineChars="200"/>
      </w:pPr>
      <w:r>
        <w:t>合理组织好各个专业工种之间的流水作业，避免产生窝工现象，根据实际的施工进度随时调整施工人数，必要时可以打破工种间</w:t>
      </w:r>
      <w:r>
        <w:rPr>
          <w:rFonts w:hint="eastAsia"/>
        </w:rPr>
        <w:t>的</w:t>
      </w:r>
      <w:r>
        <w:t>界限，实行跨专业突击抢工。</w:t>
      </w:r>
    </w:p>
    <w:tbl>
      <w:tblPr>
        <w:tblStyle w:val="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242"/>
        <w:gridCol w:w="8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242" w:type="dxa"/>
            <w:shd w:val="clear" w:color="auto" w:fill="FFFFFF"/>
            <w:vAlign w:val="center"/>
          </w:tcPr>
          <w:p>
            <w:pPr>
              <w:pStyle w:val="12"/>
            </w:pPr>
            <w:r>
              <w:rPr>
                <w:rFonts w:hint="eastAsia"/>
              </w:rPr>
              <w:t>项目</w:t>
            </w:r>
          </w:p>
        </w:tc>
        <w:tc>
          <w:tcPr>
            <w:tcW w:w="8044" w:type="dxa"/>
            <w:shd w:val="clear" w:color="auto" w:fill="FFFFFF"/>
            <w:vAlign w:val="center"/>
          </w:tcPr>
          <w:p>
            <w:pPr>
              <w:pStyle w:val="12"/>
            </w:pPr>
            <w:r>
              <w:rPr>
                <w:rFonts w:hint="eastAsia"/>
              </w:rPr>
              <w:t>保证措施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242" w:type="dxa"/>
            <w:vMerge w:val="restart"/>
            <w:shd w:val="clear" w:color="auto" w:fill="FFFFFF"/>
            <w:vAlign w:val="center"/>
          </w:tcPr>
          <w:p>
            <w:pPr>
              <w:pStyle w:val="12"/>
            </w:pPr>
            <w:r>
              <w:t>管理人员</w:t>
            </w:r>
          </w:p>
        </w:tc>
        <w:tc>
          <w:tcPr>
            <w:tcW w:w="8044" w:type="dxa"/>
            <w:shd w:val="clear" w:color="auto" w:fill="FFFFFF"/>
            <w:vAlign w:val="center"/>
          </w:tcPr>
          <w:p>
            <w:pPr>
              <w:pStyle w:val="13"/>
            </w:pPr>
            <w:r>
              <w:t>坚持按管理人员定编定员，作业人员一专多能的原则。在确保经营管理和施工生产需要的情况下，力求精干高效、结构合理；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242" w:type="dxa"/>
            <w:vMerge w:val="continue"/>
            <w:shd w:val="clear" w:color="auto" w:fill="FFFFFF"/>
            <w:vAlign w:val="center"/>
          </w:tcPr>
          <w:p>
            <w:pPr>
              <w:pStyle w:val="12"/>
            </w:pPr>
          </w:p>
        </w:tc>
        <w:tc>
          <w:tcPr>
            <w:tcW w:w="8044" w:type="dxa"/>
            <w:shd w:val="clear" w:color="auto" w:fill="FFFFFF"/>
            <w:vAlign w:val="center"/>
          </w:tcPr>
          <w:p>
            <w:pPr>
              <w:pStyle w:val="13"/>
            </w:pPr>
            <w:r>
              <w:t>坚持集中统一领导的原则，杜绝无组织、无纪律的行为，管理人员调动必须经公司统一审理办理手续，任何部门和个人不得擅自调动人员；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242" w:type="dxa"/>
            <w:vMerge w:val="continue"/>
            <w:shd w:val="clear" w:color="auto" w:fill="FFFFFF"/>
            <w:vAlign w:val="center"/>
          </w:tcPr>
          <w:p>
            <w:pPr>
              <w:pStyle w:val="12"/>
            </w:pPr>
          </w:p>
        </w:tc>
        <w:tc>
          <w:tcPr>
            <w:tcW w:w="8044" w:type="dxa"/>
            <w:shd w:val="clear" w:color="auto" w:fill="FFFFFF"/>
            <w:vAlign w:val="center"/>
          </w:tcPr>
          <w:p>
            <w:pPr>
              <w:pStyle w:val="13"/>
            </w:pPr>
            <w:r>
              <w:t>坚持知人善用、岗薪一致的原则，力争做到人尽其才，充分发挥员工的专业特点，调动员工的工作积极性</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242" w:type="dxa"/>
            <w:vMerge w:val="continue"/>
            <w:shd w:val="clear" w:color="auto" w:fill="FFFFFF"/>
            <w:vAlign w:val="center"/>
          </w:tcPr>
          <w:p>
            <w:pPr>
              <w:pStyle w:val="12"/>
            </w:pPr>
          </w:p>
        </w:tc>
        <w:tc>
          <w:tcPr>
            <w:tcW w:w="8044" w:type="dxa"/>
            <w:shd w:val="clear" w:color="auto" w:fill="FFFFFF"/>
            <w:vAlign w:val="center"/>
          </w:tcPr>
          <w:p>
            <w:pPr>
              <w:pStyle w:val="13"/>
            </w:pPr>
            <w:r>
              <w:t>集中公司优势便利，调集技术业务精、素质高的有类似施工经验的管理人员，配备足够的各专业施工劳动力，保证工程施工需要。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242" w:type="dxa"/>
            <w:shd w:val="clear" w:color="auto" w:fill="FFFFFF"/>
            <w:vAlign w:val="center"/>
          </w:tcPr>
          <w:p>
            <w:pPr>
              <w:pStyle w:val="12"/>
            </w:pPr>
            <w:r>
              <w:t>劳务队伍</w:t>
            </w:r>
          </w:p>
        </w:tc>
        <w:tc>
          <w:tcPr>
            <w:tcW w:w="8044" w:type="dxa"/>
            <w:shd w:val="clear" w:color="auto" w:fill="FFFFFF"/>
            <w:vAlign w:val="center"/>
          </w:tcPr>
          <w:p>
            <w:pPr>
              <w:pStyle w:val="13"/>
            </w:pPr>
            <w:r>
              <w:t>在长期的施工过程中，我司劳务公司积累了一批成建制、有纪律、施工能力强、技术过硬的劳务施工队伍，建立了一整套完善的劳务管理制度、培训制度和考核制度。本项目拟选用的劳务队伍，是我司劳务公司在编的施工队伍，而且是必须经劳务公司推荐，由公司进行核查确认后方可参加本工程的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242" w:type="dxa"/>
            <w:vMerge w:val="restart"/>
            <w:shd w:val="clear" w:color="auto" w:fill="FFFFFF"/>
            <w:vAlign w:val="center"/>
          </w:tcPr>
          <w:p>
            <w:pPr>
              <w:pStyle w:val="12"/>
            </w:pPr>
            <w:r>
              <w:t>合同签订及工资支付</w:t>
            </w:r>
          </w:p>
        </w:tc>
        <w:tc>
          <w:tcPr>
            <w:tcW w:w="8044" w:type="dxa"/>
            <w:shd w:val="clear" w:color="auto" w:fill="FFFFFF"/>
            <w:vAlign w:val="center"/>
          </w:tcPr>
          <w:p>
            <w:pPr>
              <w:pStyle w:val="13"/>
            </w:pPr>
            <w:r>
              <w:t>本单位职工工资根据《劳动合同》约定，每月固定发放，我司劳务公司的劳务工按其《劳动合同》每月发放。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shd w:val="clear" w:color="auto" w:fill="FFFFFF"/>
            <w:vAlign w:val="center"/>
          </w:tcPr>
          <w:p>
            <w:pPr>
              <w:pStyle w:val="12"/>
            </w:pPr>
          </w:p>
        </w:tc>
        <w:tc>
          <w:tcPr>
            <w:tcW w:w="8044" w:type="dxa"/>
            <w:shd w:val="clear" w:color="auto" w:fill="FFFFFF"/>
            <w:vAlign w:val="center"/>
          </w:tcPr>
          <w:p>
            <w:pPr>
              <w:pStyle w:val="13"/>
            </w:pPr>
            <w:r>
              <w:t>根据项目部每月的完成工程量统计，我司与劳务公司结算劳务工资，并由劳务公司支付劳务工工资。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shd w:val="clear" w:color="auto" w:fill="FFFFFF"/>
            <w:vAlign w:val="center"/>
          </w:tcPr>
          <w:p>
            <w:pPr>
              <w:pStyle w:val="12"/>
            </w:pPr>
          </w:p>
        </w:tc>
        <w:tc>
          <w:tcPr>
            <w:tcW w:w="8044" w:type="dxa"/>
            <w:shd w:val="clear" w:color="auto" w:fill="FFFFFF"/>
            <w:vAlign w:val="center"/>
          </w:tcPr>
          <w:p>
            <w:pPr>
              <w:pStyle w:val="13"/>
            </w:pPr>
            <w:r>
              <w:t>为保证劳动力工资的及时发放，在开工前按规定将工人工资保障金转入市财政部门设立的工资保障金专用账户。一旦工程建设中出现拖欠工人工资的情况，由财政部门从工资保障金中先予以划支。</w:t>
            </w:r>
          </w:p>
        </w:tc>
      </w:tr>
    </w:tbl>
    <w:p>
      <w:pPr>
        <w:pStyle w:val="5"/>
        <w:ind w:left="0" w:firstLine="422" w:firstLineChars="200"/>
        <w:rPr>
          <w:rFonts w:hint="default"/>
          <w:lang w:val="en-US" w:eastAsia="zh-CN"/>
        </w:rPr>
      </w:pPr>
      <w:r>
        <w:rPr>
          <w:rFonts w:hint="eastAsia"/>
          <w:lang w:val="en-US" w:eastAsia="zh-CN"/>
        </w:rPr>
        <w:t>机械投入保障制度</w:t>
      </w:r>
    </w:p>
    <w:p>
      <w:pPr>
        <w:pStyle w:val="4"/>
        <w:numPr>
          <w:ilvl w:val="2"/>
          <w:numId w:val="0"/>
        </w:numPr>
        <w:ind w:leftChars="0"/>
        <w:rPr>
          <w:b w:val="0"/>
          <w:bCs w:val="0"/>
        </w:rPr>
      </w:pPr>
      <w:bookmarkStart w:id="32" w:name="_Toc421808880"/>
      <w:bookmarkStart w:id="33" w:name="_Toc417461361"/>
      <w:bookmarkStart w:id="34" w:name="_Toc410661030"/>
      <w:bookmarkStart w:id="35" w:name="_Toc410720698"/>
      <w:bookmarkStart w:id="36" w:name="_Toc410660667"/>
      <w:bookmarkStart w:id="37" w:name="_Toc417308736"/>
      <w:bookmarkStart w:id="38" w:name="_Toc410661391"/>
      <w:bookmarkStart w:id="39" w:name="_Toc417308353"/>
      <w:bookmarkStart w:id="40" w:name="_Toc77021370"/>
      <w:r>
        <w:rPr>
          <w:rFonts w:hint="eastAsia"/>
          <w:b w:val="0"/>
          <w:bCs w:val="0"/>
          <w:lang w:val="en-US" w:eastAsia="zh-CN"/>
        </w:rPr>
        <w:t>1）</w:t>
      </w:r>
      <w:r>
        <w:rPr>
          <w:rFonts w:hint="eastAsia"/>
          <w:b w:val="0"/>
          <w:bCs w:val="0"/>
        </w:rPr>
        <w:t>机械设备资源保障体系</w:t>
      </w:r>
      <w:bookmarkEnd w:id="32"/>
      <w:bookmarkEnd w:id="33"/>
      <w:bookmarkEnd w:id="34"/>
      <w:bookmarkEnd w:id="35"/>
      <w:bookmarkEnd w:id="36"/>
      <w:bookmarkEnd w:id="37"/>
      <w:bookmarkEnd w:id="38"/>
      <w:bookmarkEnd w:id="39"/>
      <w:bookmarkEnd w:id="40"/>
    </w:p>
    <w:p>
      <w:pPr>
        <w:pStyle w:val="6"/>
        <w:rPr>
          <w:b w:val="0"/>
          <w:bCs w:val="0"/>
        </w:rPr>
      </w:pPr>
      <w:r>
        <w:rPr>
          <w:rFonts w:hint="eastAsia"/>
          <w:b w:val="0"/>
          <w:bCs w:val="0"/>
        </w:rPr>
        <w:t>本工程现场使用到的主要机械设备为我司自有，可满足本工程的施工要求。为保证所有机械设备等满足工程施工的需要和调配管理的力度，在项目部内将成立设备资源与调配体系，在项目经理的领导下，由主管机械设备资源的组长主持本体系的运行与管理考核。</w:t>
      </w:r>
    </w:p>
    <w:p>
      <w:pPr>
        <w:pStyle w:val="4"/>
        <w:numPr>
          <w:ilvl w:val="2"/>
          <w:numId w:val="0"/>
        </w:numPr>
        <w:ind w:leftChars="0"/>
        <w:rPr>
          <w:b w:val="0"/>
          <w:bCs w:val="0"/>
        </w:rPr>
      </w:pPr>
      <w:bookmarkStart w:id="41" w:name="_Toc410661031"/>
      <w:bookmarkStart w:id="42" w:name="_Toc417308737"/>
      <w:bookmarkStart w:id="43" w:name="_Toc417308354"/>
      <w:bookmarkStart w:id="44" w:name="_Toc77021371"/>
      <w:bookmarkStart w:id="45" w:name="_Toc410660668"/>
      <w:bookmarkStart w:id="46" w:name="_Toc417461362"/>
      <w:bookmarkStart w:id="47" w:name="_Toc421808881"/>
      <w:bookmarkStart w:id="48" w:name="_Toc410720699"/>
      <w:bookmarkStart w:id="49" w:name="_Toc410661392"/>
      <w:r>
        <w:rPr>
          <w:rFonts w:hint="eastAsia"/>
          <w:b w:val="0"/>
          <w:bCs w:val="0"/>
          <w:lang w:val="en-US" w:eastAsia="zh-CN"/>
        </w:rPr>
        <w:t>2）</w:t>
      </w:r>
      <w:r>
        <w:rPr>
          <w:rFonts w:hint="eastAsia"/>
          <w:b w:val="0"/>
          <w:bCs w:val="0"/>
        </w:rPr>
        <w:t>自有机械设备的保障</w:t>
      </w:r>
      <w:bookmarkEnd w:id="41"/>
      <w:bookmarkEnd w:id="42"/>
      <w:bookmarkEnd w:id="43"/>
      <w:bookmarkEnd w:id="44"/>
      <w:bookmarkEnd w:id="45"/>
      <w:bookmarkEnd w:id="46"/>
      <w:bookmarkEnd w:id="47"/>
      <w:bookmarkEnd w:id="48"/>
      <w:bookmarkEnd w:id="49"/>
    </w:p>
    <w:p>
      <w:pPr>
        <w:pStyle w:val="6"/>
        <w:rPr>
          <w:b w:val="0"/>
          <w:bCs w:val="0"/>
        </w:rPr>
      </w:pPr>
      <w:r>
        <w:rPr>
          <w:rFonts w:hint="eastAsia"/>
          <w:b w:val="0"/>
          <w:bCs w:val="0"/>
        </w:rPr>
        <w:t>我司现在已做好了本工程中标后的施工设备的配置预案，施工中采用的主要机械设备均我司自有，而且对准备投入到本工程的机械设备进行了保养、维修时设备处于良好状态。</w:t>
      </w:r>
    </w:p>
    <w:p>
      <w:pPr>
        <w:pStyle w:val="4"/>
        <w:numPr>
          <w:ilvl w:val="2"/>
          <w:numId w:val="0"/>
        </w:numPr>
        <w:ind w:leftChars="0"/>
        <w:rPr>
          <w:b w:val="0"/>
          <w:bCs w:val="0"/>
        </w:rPr>
      </w:pPr>
      <w:bookmarkStart w:id="50" w:name="_Toc410661032"/>
      <w:bookmarkStart w:id="51" w:name="_Toc417308355"/>
      <w:bookmarkStart w:id="52" w:name="_Toc77021372"/>
      <w:bookmarkStart w:id="53" w:name="_Toc421808882"/>
      <w:bookmarkStart w:id="54" w:name="_Toc417461363"/>
      <w:bookmarkStart w:id="55" w:name="_Toc410660669"/>
      <w:bookmarkStart w:id="56" w:name="_Toc417308738"/>
      <w:bookmarkStart w:id="57" w:name="_Toc410661393"/>
      <w:bookmarkStart w:id="58" w:name="_Toc410720700"/>
      <w:r>
        <w:rPr>
          <w:rFonts w:hint="eastAsia"/>
          <w:b w:val="0"/>
          <w:bCs w:val="0"/>
          <w:lang w:val="en-US" w:eastAsia="zh-CN"/>
        </w:rPr>
        <w:t>3）</w:t>
      </w:r>
      <w:r>
        <w:rPr>
          <w:rFonts w:hint="eastAsia"/>
          <w:b w:val="0"/>
          <w:bCs w:val="0"/>
        </w:rPr>
        <w:t>机械设备的维修保养</w:t>
      </w:r>
      <w:bookmarkEnd w:id="50"/>
      <w:bookmarkEnd w:id="51"/>
      <w:bookmarkEnd w:id="52"/>
      <w:bookmarkEnd w:id="53"/>
      <w:bookmarkEnd w:id="54"/>
      <w:bookmarkEnd w:id="55"/>
      <w:bookmarkEnd w:id="56"/>
      <w:bookmarkEnd w:id="57"/>
      <w:bookmarkEnd w:id="58"/>
    </w:p>
    <w:p>
      <w:pPr>
        <w:pStyle w:val="6"/>
        <w:rPr>
          <w:b w:val="0"/>
          <w:bCs w:val="0"/>
        </w:rPr>
      </w:pPr>
      <w:r>
        <w:rPr>
          <w:rFonts w:hint="eastAsia"/>
          <w:b w:val="0"/>
          <w:bCs w:val="0"/>
        </w:rPr>
        <w:t>我司成立由专门的机械设备维修保养小组，对公司在册的所有机械设备建立了台帐制度，定期对施工设备进行保养维修、报废及购进新设备，使机械设备始终保持良好状态，随时可以投入使用。</w:t>
      </w:r>
    </w:p>
    <w:p>
      <w:pPr>
        <w:pStyle w:val="4"/>
        <w:numPr>
          <w:ilvl w:val="2"/>
          <w:numId w:val="0"/>
        </w:numPr>
        <w:ind w:leftChars="0"/>
        <w:rPr>
          <w:b w:val="0"/>
          <w:bCs w:val="0"/>
        </w:rPr>
      </w:pPr>
      <w:bookmarkStart w:id="59" w:name="_Toc421808883"/>
      <w:bookmarkStart w:id="60" w:name="_Toc410661033"/>
      <w:bookmarkStart w:id="61" w:name="_Toc417308356"/>
      <w:bookmarkStart w:id="62" w:name="_Toc410720701"/>
      <w:bookmarkStart w:id="63" w:name="_Toc417461364"/>
      <w:bookmarkStart w:id="64" w:name="_Toc410660670"/>
      <w:bookmarkStart w:id="65" w:name="_Toc410661394"/>
      <w:bookmarkStart w:id="66" w:name="_Toc77021373"/>
      <w:bookmarkStart w:id="67" w:name="_Toc417308739"/>
      <w:r>
        <w:rPr>
          <w:rFonts w:hint="eastAsia"/>
          <w:b w:val="0"/>
          <w:bCs w:val="0"/>
          <w:lang w:val="en-US" w:eastAsia="zh-CN"/>
        </w:rPr>
        <w:t>4）</w:t>
      </w:r>
      <w:r>
        <w:rPr>
          <w:rFonts w:hint="eastAsia"/>
          <w:b w:val="0"/>
          <w:bCs w:val="0"/>
        </w:rPr>
        <w:t>加强对机械设备的备品备件的计划定制与采购</w:t>
      </w:r>
      <w:bookmarkEnd w:id="59"/>
      <w:bookmarkEnd w:id="60"/>
      <w:bookmarkEnd w:id="61"/>
      <w:bookmarkEnd w:id="62"/>
      <w:bookmarkEnd w:id="63"/>
      <w:bookmarkEnd w:id="64"/>
      <w:bookmarkEnd w:id="65"/>
      <w:bookmarkEnd w:id="66"/>
      <w:bookmarkEnd w:id="67"/>
    </w:p>
    <w:p>
      <w:pPr>
        <w:pStyle w:val="6"/>
        <w:rPr>
          <w:b w:val="0"/>
          <w:bCs w:val="0"/>
        </w:rPr>
      </w:pPr>
      <w:r>
        <w:rPr>
          <w:rFonts w:hint="eastAsia"/>
          <w:b w:val="0"/>
          <w:bCs w:val="0"/>
        </w:rPr>
        <w:t>保证主要设备的关键部件都有备品备件，保障设备故障时及时更换损坏的零部件。对常规及关键部位易损耗配件均有备品，损坏时可直接更换。</w:t>
      </w:r>
    </w:p>
    <w:p>
      <w:pPr>
        <w:pStyle w:val="4"/>
        <w:numPr>
          <w:ilvl w:val="2"/>
          <w:numId w:val="0"/>
        </w:numPr>
        <w:ind w:leftChars="0"/>
        <w:rPr>
          <w:b w:val="0"/>
          <w:bCs w:val="0"/>
        </w:rPr>
      </w:pPr>
      <w:bookmarkStart w:id="68" w:name="_Toc410661395"/>
      <w:bookmarkStart w:id="69" w:name="_Toc417461365"/>
      <w:bookmarkStart w:id="70" w:name="_Toc410660671"/>
      <w:bookmarkStart w:id="71" w:name="_Toc77021374"/>
      <w:bookmarkStart w:id="72" w:name="_Toc410720702"/>
      <w:bookmarkStart w:id="73" w:name="_Toc417308357"/>
      <w:bookmarkStart w:id="74" w:name="_Toc410661034"/>
      <w:bookmarkStart w:id="75" w:name="_Toc417308740"/>
      <w:bookmarkStart w:id="76" w:name="_Toc421808884"/>
      <w:r>
        <w:rPr>
          <w:rFonts w:hint="eastAsia"/>
          <w:b w:val="0"/>
          <w:bCs w:val="0"/>
          <w:lang w:val="en-US" w:eastAsia="zh-CN"/>
        </w:rPr>
        <w:t>5</w:t>
      </w:r>
      <w:r>
        <w:rPr>
          <w:rFonts w:hint="eastAsia"/>
          <w:b w:val="0"/>
          <w:bCs w:val="0"/>
          <w:lang w:eastAsia="zh-CN"/>
        </w:rPr>
        <w:t>）</w:t>
      </w:r>
      <w:r>
        <w:rPr>
          <w:rFonts w:hint="eastAsia"/>
          <w:b w:val="0"/>
          <w:bCs w:val="0"/>
        </w:rPr>
        <w:t>机械设备的应急措施</w:t>
      </w:r>
      <w:bookmarkEnd w:id="68"/>
      <w:bookmarkEnd w:id="69"/>
      <w:bookmarkEnd w:id="70"/>
      <w:bookmarkEnd w:id="71"/>
      <w:bookmarkEnd w:id="72"/>
      <w:bookmarkEnd w:id="73"/>
      <w:bookmarkEnd w:id="74"/>
      <w:bookmarkEnd w:id="75"/>
      <w:bookmarkEnd w:id="76"/>
    </w:p>
    <w:p>
      <w:pPr>
        <w:pStyle w:val="6"/>
        <w:rPr>
          <w:b w:val="0"/>
          <w:bCs w:val="0"/>
        </w:rPr>
      </w:pPr>
      <w:r>
        <w:rPr>
          <w:rFonts w:hint="eastAsia"/>
          <w:b w:val="0"/>
          <w:bCs w:val="0"/>
        </w:rPr>
        <w:t>机械在使用时，发生一般故障时，可由维修人员第一时间抢修，以保证机械设备的正常使用。如果发生故障无法修复，一般设备采用备用设备，如果大型机械无法使用的情况，马上采用租赁其他大型设备来代用，避免出现工程的停滞。</w:t>
      </w:r>
    </w:p>
    <w:p>
      <w:pPr>
        <w:pStyle w:val="4"/>
        <w:numPr>
          <w:ilvl w:val="2"/>
          <w:numId w:val="0"/>
        </w:numPr>
        <w:ind w:leftChars="0"/>
        <w:rPr>
          <w:b w:val="0"/>
          <w:bCs w:val="0"/>
        </w:rPr>
      </w:pPr>
      <w:bookmarkStart w:id="77" w:name="_Toc298749511"/>
      <w:bookmarkStart w:id="78" w:name="_Toc421808885"/>
      <w:bookmarkStart w:id="79" w:name="_Toc298527061"/>
      <w:bookmarkStart w:id="80" w:name="_Toc410720703"/>
      <w:bookmarkStart w:id="81" w:name="_Toc294250724"/>
      <w:bookmarkStart w:id="82" w:name="_Toc306669476"/>
      <w:bookmarkStart w:id="83" w:name="_Toc410661035"/>
      <w:bookmarkStart w:id="84" w:name="_Toc417308358"/>
      <w:bookmarkStart w:id="85" w:name="_Toc417461366"/>
      <w:bookmarkStart w:id="86" w:name="_Toc294969492"/>
      <w:bookmarkStart w:id="87" w:name="_Toc292642937"/>
      <w:bookmarkStart w:id="88" w:name="_Toc291863231"/>
      <w:bookmarkStart w:id="89" w:name="_Toc410661396"/>
      <w:bookmarkStart w:id="90" w:name="_Toc410660672"/>
      <w:bookmarkStart w:id="91" w:name="_Toc417308741"/>
      <w:bookmarkStart w:id="92" w:name="_Toc77021375"/>
      <w:r>
        <w:rPr>
          <w:rFonts w:hint="eastAsia"/>
          <w:b w:val="0"/>
          <w:bCs w:val="0"/>
          <w:lang w:val="en-US" w:eastAsia="zh-CN"/>
        </w:rPr>
        <w:t>6）</w:t>
      </w:r>
      <w:r>
        <w:rPr>
          <w:rFonts w:hint="eastAsia"/>
          <w:b w:val="0"/>
          <w:bCs w:val="0"/>
        </w:rPr>
        <w:t>投入机械设备的承诺</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pPr>
        <w:pStyle w:val="6"/>
        <w:rPr>
          <w:b w:val="0"/>
          <w:bCs w:val="0"/>
        </w:rPr>
      </w:pPr>
      <w:r>
        <w:rPr>
          <w:rFonts w:hint="eastAsia"/>
          <w:b w:val="0"/>
          <w:bCs w:val="0"/>
        </w:rPr>
        <w:t>我司承诺，拟投入的机械设备均为我司所有，并且保证所有的机械设备满足工程施工进度需要，到位率100%，保证工程加工和安装精度要求。现场拟投入的施工机械设备均在施工前一周进场，并可根据现场需要进行调整。工程验收合格后，我司所有的设备撤出施工现场。</w:t>
      </w:r>
    </w:p>
    <w:p>
      <w:pPr>
        <w:pStyle w:val="6"/>
        <w:rPr>
          <w:rFonts w:hint="default"/>
          <w:lang w:val="en-US" w:eastAsia="zh-CN"/>
        </w:rPr>
      </w:pPr>
    </w:p>
    <w:p>
      <w:pPr>
        <w:numPr>
          <w:ilvl w:val="0"/>
          <w:numId w:val="4"/>
        </w:numPr>
        <w:spacing w:line="360" w:lineRule="auto"/>
        <w:rPr>
          <w:rFonts w:hint="eastAsia"/>
          <w:b/>
          <w:bCs/>
          <w:sz w:val="24"/>
          <w:lang w:val="en-US" w:eastAsia="zh-CN"/>
        </w:rPr>
      </w:pPr>
      <w:r>
        <w:rPr>
          <w:rFonts w:hint="eastAsia"/>
          <w:b/>
          <w:bCs/>
          <w:sz w:val="24"/>
          <w:lang w:val="en-US" w:eastAsia="zh-CN"/>
        </w:rPr>
        <w:t>施工期环境保护措施落实情况</w:t>
      </w:r>
    </w:p>
    <w:p>
      <w:pPr>
        <w:pStyle w:val="4"/>
        <w:numPr>
          <w:ilvl w:val="2"/>
          <w:numId w:val="0"/>
        </w:numPr>
        <w:ind w:leftChars="0"/>
      </w:pPr>
      <w:r>
        <w:rPr>
          <w:rFonts w:hint="eastAsia"/>
          <w:lang w:eastAsia="zh-CN"/>
        </w:rPr>
        <w:t>一、</w:t>
      </w:r>
      <w:r>
        <w:rPr>
          <w:rFonts w:hint="eastAsia"/>
        </w:rPr>
        <w:t>环境保护及绿色施工目标</w:t>
      </w:r>
      <w:bookmarkEnd w:id="28"/>
      <w:bookmarkEnd w:id="29"/>
      <w:bookmarkEnd w:id="30"/>
      <w:bookmarkEnd w:id="31"/>
    </w:p>
    <w:p>
      <w:pPr>
        <w:pStyle w:val="6"/>
      </w:pPr>
      <w:bookmarkStart w:id="93" w:name="_Toc187311047"/>
      <w:bookmarkStart w:id="94" w:name="_Toc219440701"/>
      <w:bookmarkStart w:id="95" w:name="_Toc231439122"/>
      <w:bookmarkStart w:id="96" w:name="_Toc224303387"/>
      <w:bookmarkStart w:id="97" w:name="_Toc231560215"/>
      <w:bookmarkStart w:id="98" w:name="_Toc231635547"/>
      <w:bookmarkStart w:id="99" w:name="_Toc231614656"/>
      <w:bookmarkStart w:id="100" w:name="_Toc219439050"/>
      <w:bookmarkStart w:id="101" w:name="_Toc299069459"/>
      <w:bookmarkStart w:id="102" w:name="_Toc299074009"/>
      <w:bookmarkStart w:id="103" w:name="_Toc298918565"/>
      <w:bookmarkStart w:id="104" w:name="_Toc299073360"/>
      <w:bookmarkStart w:id="105" w:name="_Toc299075956"/>
      <w:bookmarkStart w:id="106" w:name="_Toc267557632"/>
      <w:bookmarkStart w:id="107" w:name="_Toc295238512"/>
      <w:bookmarkStart w:id="108" w:name="_Toc299076605"/>
      <w:bookmarkStart w:id="109" w:name="_Toc299070115"/>
      <w:bookmarkStart w:id="110" w:name="_Toc299075307"/>
      <w:bookmarkStart w:id="111" w:name="_Toc269470839"/>
      <w:bookmarkStart w:id="112" w:name="_Toc295239402"/>
      <w:bookmarkStart w:id="113" w:name="_Toc299077254"/>
      <w:bookmarkStart w:id="114" w:name="_Toc277565782"/>
      <w:bookmarkStart w:id="115" w:name="_Toc269761786"/>
      <w:bookmarkStart w:id="116" w:name="_Toc299074658"/>
      <w:bookmarkStart w:id="117" w:name="_Toc269472592"/>
      <w:bookmarkStart w:id="118" w:name="_Toc299071413"/>
      <w:bookmarkStart w:id="119" w:name="_Toc299072062"/>
      <w:bookmarkStart w:id="120" w:name="_Toc299077903"/>
      <w:bookmarkStart w:id="121" w:name="_Toc414702574"/>
      <w:bookmarkStart w:id="122" w:name="_Toc301876508"/>
      <w:bookmarkStart w:id="123" w:name="_Toc277622069"/>
      <w:bookmarkStart w:id="124" w:name="_Toc269473006"/>
      <w:bookmarkStart w:id="125" w:name="_Toc269472178"/>
      <w:bookmarkStart w:id="126" w:name="_Toc295239178"/>
      <w:bookmarkStart w:id="127" w:name="_Toc299070764"/>
      <w:bookmarkStart w:id="128" w:name="_Toc295238954"/>
      <w:bookmarkStart w:id="129" w:name="_Toc295238730"/>
      <w:bookmarkStart w:id="130" w:name="_Toc297623260"/>
      <w:bookmarkStart w:id="131" w:name="_Toc273115552"/>
      <w:bookmarkStart w:id="132" w:name="_Toc299072711"/>
      <w:r>
        <w:rPr>
          <w:rFonts w:hint="eastAsia"/>
        </w:rPr>
        <w:t>1.现场环境管理目标和指标</w:t>
      </w:r>
      <w:bookmarkEnd w:id="93"/>
      <w:bookmarkEnd w:id="94"/>
      <w:bookmarkEnd w:id="95"/>
      <w:bookmarkEnd w:id="96"/>
      <w:bookmarkEnd w:id="97"/>
      <w:bookmarkEnd w:id="98"/>
      <w:bookmarkEnd w:id="99"/>
      <w:bookmarkEnd w:id="100"/>
    </w:p>
    <w:p>
      <w:pPr>
        <w:pStyle w:val="6"/>
      </w:pPr>
      <w:r>
        <w:rPr>
          <w:rFonts w:hint="eastAsia"/>
        </w:rPr>
        <w:t>为确保工程施工生产的顺利进行，减少施工扰民，保持周边环境，我项目经理部将依据ISO14001环境管理体系标准和我公司环境管理手册，建立现场环境管理体系，制定环境目标和指标如下：</w:t>
      </w:r>
    </w:p>
    <w:p>
      <w:pPr>
        <w:pStyle w:val="6"/>
      </w:pPr>
      <w:r>
        <w:rPr>
          <w:rFonts w:hint="eastAsia"/>
        </w:rPr>
        <w:t>噪声污染：无夜间施工，噪声排放严于国家要求</w:t>
      </w:r>
    </w:p>
    <w:p>
      <w:pPr>
        <w:pStyle w:val="6"/>
      </w:pPr>
      <w:r>
        <w:rPr>
          <w:rFonts w:hint="eastAsia"/>
        </w:rPr>
        <w:t>扬尘控制：全面控制，总体实现与外界环境同步</w:t>
      </w:r>
    </w:p>
    <w:p>
      <w:pPr>
        <w:pStyle w:val="6"/>
      </w:pPr>
      <w:r>
        <w:rPr>
          <w:rFonts w:hint="eastAsia"/>
        </w:rPr>
        <w:t>污水排放：排污达标，满足国家排污指标的要求</w:t>
      </w:r>
    </w:p>
    <w:p>
      <w:pPr>
        <w:pStyle w:val="6"/>
      </w:pPr>
      <w:r>
        <w:rPr>
          <w:rFonts w:hint="eastAsia"/>
        </w:rPr>
        <w:t>废弃物管理：废弃物排放无污染</w:t>
      </w:r>
    </w:p>
    <w:p>
      <w:pPr>
        <w:pStyle w:val="6"/>
      </w:pPr>
      <w:r>
        <w:rPr>
          <w:rFonts w:hint="eastAsia"/>
        </w:rPr>
        <w:t>节能降耗：材料节约率2％，施工用水用电节约15％（与同类工程比）危险品的控制等：无火灾，无爆炸事故</w:t>
      </w:r>
    </w:p>
    <w:p>
      <w:pPr>
        <w:pStyle w:val="4"/>
        <w:numPr>
          <w:ilvl w:val="2"/>
          <w:numId w:val="0"/>
        </w:numPr>
        <w:ind w:leftChars="0"/>
      </w:pPr>
      <w:bookmarkStart w:id="133" w:name="_Toc486939889"/>
      <w:bookmarkStart w:id="134" w:name="_Toc77021461"/>
      <w:bookmarkStart w:id="135" w:name="_Toc521841005"/>
      <w:bookmarkStart w:id="136" w:name="_Toc471468254"/>
      <w:bookmarkStart w:id="137" w:name="_Toc464218985"/>
      <w:bookmarkStart w:id="138" w:name="_Toc463949420"/>
      <w:bookmarkStart w:id="139" w:name="_Toc528853187"/>
      <w:bookmarkStart w:id="140" w:name="_Toc463945526"/>
      <w:bookmarkStart w:id="141" w:name="_Toc463945774"/>
      <w:bookmarkStart w:id="142" w:name="_Toc12964392"/>
      <w:r>
        <w:rPr>
          <w:rFonts w:hint="eastAsia"/>
          <w:lang w:eastAsia="zh-CN"/>
        </w:rPr>
        <w:t>二、</w:t>
      </w:r>
      <w:r>
        <w:rPr>
          <w:rFonts w:hint="eastAsia"/>
        </w:rPr>
        <w:t>环境保护及绿色施工管理体系</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pPr>
        <w:pStyle w:val="6"/>
      </w:pPr>
      <w:bookmarkStart w:id="143" w:name="_Toc266438232"/>
      <w:bookmarkStart w:id="144" w:name="_Toc269470840"/>
      <w:bookmarkStart w:id="145" w:name="_Toc266971845"/>
      <w:bookmarkStart w:id="146" w:name="_Toc269761787"/>
      <w:bookmarkStart w:id="147" w:name="_Toc269473007"/>
      <w:bookmarkStart w:id="148" w:name="_Toc277622070"/>
      <w:bookmarkStart w:id="149" w:name="_Toc266969913"/>
      <w:bookmarkStart w:id="150" w:name="_Toc266969700"/>
      <w:bookmarkStart w:id="151" w:name="_Toc269472593"/>
      <w:bookmarkStart w:id="152" w:name="_Toc269472179"/>
      <w:bookmarkStart w:id="153" w:name="_Toc277565783"/>
      <w:bookmarkStart w:id="154" w:name="_Toc266188668"/>
      <w:r>
        <w:rPr>
          <w:rFonts w:hint="eastAsia"/>
        </w:rPr>
        <w:t>1、环境保护管理机构</w:t>
      </w:r>
      <w:bookmarkEnd w:id="143"/>
      <w:bookmarkEnd w:id="144"/>
      <w:bookmarkEnd w:id="145"/>
      <w:bookmarkEnd w:id="146"/>
      <w:bookmarkEnd w:id="147"/>
      <w:bookmarkEnd w:id="148"/>
      <w:bookmarkEnd w:id="149"/>
      <w:bookmarkEnd w:id="150"/>
      <w:bookmarkEnd w:id="151"/>
      <w:bookmarkEnd w:id="152"/>
      <w:bookmarkEnd w:id="153"/>
      <w:bookmarkEnd w:id="154"/>
    </w:p>
    <w:p>
      <w:pPr>
        <w:pStyle w:val="11"/>
      </w:pPr>
      <w:r>
        <mc:AlternateContent>
          <mc:Choice Requires="wpg">
            <w:drawing>
              <wp:inline distT="0" distB="0" distL="0" distR="0">
                <wp:extent cx="3956685" cy="3048000"/>
                <wp:effectExtent l="6350" t="6350" r="18415" b="12700"/>
                <wp:docPr id="168" name="组合 276998"/>
                <wp:cNvGraphicFramePr/>
                <a:graphic xmlns:a="http://schemas.openxmlformats.org/drawingml/2006/main">
                  <a:graphicData uri="http://schemas.microsoft.com/office/word/2010/wordprocessingGroup">
                    <wpg:wgp>
                      <wpg:cNvGrpSpPr/>
                      <wpg:grpSpPr>
                        <a:xfrm>
                          <a:off x="0" y="0"/>
                          <a:ext cx="3956779" cy="3048000"/>
                          <a:chOff x="2846" y="10618"/>
                          <a:chExt cx="6184" cy="5460"/>
                        </a:xfrm>
                      </wpg:grpSpPr>
                      <wpg:grpSp>
                        <wpg:cNvPr id="169" name="Group 41"/>
                        <wpg:cNvGrpSpPr/>
                        <wpg:grpSpPr>
                          <a:xfrm>
                            <a:off x="2846" y="10618"/>
                            <a:ext cx="6184" cy="5460"/>
                            <a:chOff x="2846" y="10618"/>
                            <a:chExt cx="6184" cy="5460"/>
                          </a:xfrm>
                        </wpg:grpSpPr>
                        <wps:wsp>
                          <wps:cNvPr id="170" name="AutoShape 42"/>
                          <wps:cNvSpPr>
                            <a:spLocks noChangeArrowheads="1"/>
                          </wps:cNvSpPr>
                          <wps:spPr bwMode="auto">
                            <a:xfrm>
                              <a:off x="5042" y="10618"/>
                              <a:ext cx="2041" cy="526"/>
                            </a:xfrm>
                            <a:prstGeom prst="flowChartAlternateProcess">
                              <a:avLst/>
                            </a:prstGeom>
                            <a:gradFill rotWithShape="0">
                              <a:gsLst>
                                <a:gs pos="0">
                                  <a:srgbClr val="D99694"/>
                                </a:gs>
                                <a:gs pos="50000">
                                  <a:srgbClr val="F2DCDB"/>
                                </a:gs>
                                <a:gs pos="100000">
                                  <a:srgbClr val="D99694"/>
                                </a:gs>
                              </a:gsLst>
                              <a:lin ang="18900000" scaled="1"/>
                            </a:gradFill>
                            <a:ln w="12700">
                              <a:solidFill>
                                <a:srgbClr val="D99694"/>
                              </a:solidFill>
                              <a:miter lim="800000"/>
                            </a:ln>
                            <a:effectLst/>
                          </wps:spPr>
                          <wps:txbx>
                            <w:txbxContent>
                              <w:p>
                                <w:pPr>
                                  <w:pStyle w:val="14"/>
                                </w:pPr>
                                <w:r>
                                  <w:rPr>
                                    <w:rFonts w:hint="eastAsia"/>
                                  </w:rPr>
                                  <w:t>项目经理</w:t>
                                </w:r>
                              </w:p>
                            </w:txbxContent>
                          </wps:txbx>
                          <wps:bodyPr rot="0" vert="horz" wrap="square" lIns="91440" tIns="45720" rIns="91440" bIns="45720" anchor="t" anchorCtr="0" upright="1">
                            <a:noAutofit/>
                          </wps:bodyPr>
                        </wps:wsp>
                        <wps:wsp>
                          <wps:cNvPr id="171" name="AutoShape 43"/>
                          <wps:cNvSpPr>
                            <a:spLocks noChangeArrowheads="1"/>
                          </wps:cNvSpPr>
                          <wps:spPr bwMode="auto">
                            <a:xfrm>
                              <a:off x="5042" y="11470"/>
                              <a:ext cx="2041" cy="526"/>
                            </a:xfrm>
                            <a:prstGeom prst="flowChartAlternateProcess">
                              <a:avLst/>
                            </a:prstGeom>
                            <a:gradFill rotWithShape="0">
                              <a:gsLst>
                                <a:gs pos="0">
                                  <a:srgbClr val="D99694"/>
                                </a:gs>
                                <a:gs pos="50000">
                                  <a:srgbClr val="F2DCDB"/>
                                </a:gs>
                                <a:gs pos="100000">
                                  <a:srgbClr val="D99694"/>
                                </a:gs>
                              </a:gsLst>
                              <a:lin ang="18900000" scaled="1"/>
                            </a:gradFill>
                            <a:ln w="12700">
                              <a:solidFill>
                                <a:srgbClr val="D99694"/>
                              </a:solidFill>
                              <a:miter lim="800000"/>
                            </a:ln>
                            <a:effectLst/>
                          </wps:spPr>
                          <wps:txbx>
                            <w:txbxContent>
                              <w:p>
                                <w:pPr>
                                  <w:pStyle w:val="14"/>
                                </w:pPr>
                                <w:r>
                                  <w:rPr>
                                    <w:rFonts w:hint="eastAsia"/>
                                  </w:rPr>
                                  <w:t>质安副经理</w:t>
                                </w:r>
                              </w:p>
                            </w:txbxContent>
                          </wps:txbx>
                          <wps:bodyPr rot="0" vert="horz" wrap="square" lIns="91440" tIns="45720" rIns="91440" bIns="45720" anchor="t" anchorCtr="0" upright="1">
                            <a:noAutofit/>
                          </wps:bodyPr>
                        </wps:wsp>
                        <wps:wsp>
                          <wps:cNvPr id="172" name="AutoShape 44"/>
                          <wps:cNvSpPr>
                            <a:spLocks noChangeArrowheads="1"/>
                          </wps:cNvSpPr>
                          <wps:spPr bwMode="auto">
                            <a:xfrm>
                              <a:off x="2846" y="12658"/>
                              <a:ext cx="610" cy="3420"/>
                            </a:xfrm>
                            <a:prstGeom prst="flowChartAlternateProcess">
                              <a:avLst/>
                            </a:prstGeom>
                            <a:gradFill rotWithShape="0">
                              <a:gsLst>
                                <a:gs pos="0">
                                  <a:srgbClr val="D99694"/>
                                </a:gs>
                                <a:gs pos="50000">
                                  <a:srgbClr val="F2DCDB"/>
                                </a:gs>
                                <a:gs pos="100000">
                                  <a:srgbClr val="D99694"/>
                                </a:gs>
                              </a:gsLst>
                              <a:lin ang="18900000" scaled="1"/>
                            </a:gradFill>
                            <a:ln w="12700">
                              <a:solidFill>
                                <a:srgbClr val="D99694"/>
                              </a:solidFill>
                              <a:miter lim="800000"/>
                            </a:ln>
                            <a:effectLst/>
                          </wps:spPr>
                          <wps:txbx>
                            <w:txbxContent>
                              <w:p>
                                <w:pPr>
                                  <w:pStyle w:val="14"/>
                                </w:pPr>
                                <w:r>
                                  <w:rPr>
                                    <w:rFonts w:hint="eastAsia"/>
                                  </w:rPr>
                                  <w:t>项目安全员</w:t>
                                </w:r>
                              </w:p>
                            </w:txbxContent>
                          </wps:txbx>
                          <wps:bodyPr rot="0" vert="horz" wrap="square" lIns="91440" tIns="45720" rIns="91440" bIns="45720" anchor="t" anchorCtr="0" upright="1">
                            <a:noAutofit/>
                          </wps:bodyPr>
                        </wps:wsp>
                        <wps:wsp>
                          <wps:cNvPr id="173" name="AutoShape 45"/>
                          <wps:cNvSpPr>
                            <a:spLocks noChangeArrowheads="1"/>
                          </wps:cNvSpPr>
                          <wps:spPr bwMode="auto">
                            <a:xfrm>
                              <a:off x="4338" y="12733"/>
                              <a:ext cx="683" cy="3345"/>
                            </a:xfrm>
                            <a:prstGeom prst="flowChartAlternateProcess">
                              <a:avLst/>
                            </a:prstGeom>
                            <a:gradFill rotWithShape="0">
                              <a:gsLst>
                                <a:gs pos="0">
                                  <a:srgbClr val="D99694"/>
                                </a:gs>
                                <a:gs pos="50000">
                                  <a:srgbClr val="F2DCDB"/>
                                </a:gs>
                                <a:gs pos="100000">
                                  <a:srgbClr val="D99694"/>
                                </a:gs>
                              </a:gsLst>
                              <a:lin ang="18900000" scaled="1"/>
                            </a:gradFill>
                            <a:ln w="12700">
                              <a:solidFill>
                                <a:srgbClr val="D99694"/>
                              </a:solidFill>
                              <a:miter lim="800000"/>
                            </a:ln>
                            <a:effectLst/>
                          </wps:spPr>
                          <wps:txbx>
                            <w:txbxContent>
                              <w:p>
                                <w:pPr>
                                  <w:pStyle w:val="14"/>
                                </w:pPr>
                                <w:r>
                                  <w:rPr>
                                    <w:rFonts w:hint="eastAsia"/>
                                  </w:rPr>
                                  <w:t>后勤保障部</w:t>
                                </w:r>
                              </w:p>
                            </w:txbxContent>
                          </wps:txbx>
                          <wps:bodyPr rot="0" vert="horz" wrap="square" lIns="91440" tIns="45720" rIns="91440" bIns="45720" anchor="t" anchorCtr="0" upright="1">
                            <a:noAutofit/>
                          </wps:bodyPr>
                        </wps:wsp>
                        <wps:wsp>
                          <wps:cNvPr id="174" name="AutoShape 46"/>
                          <wps:cNvSpPr>
                            <a:spLocks noChangeArrowheads="1"/>
                          </wps:cNvSpPr>
                          <wps:spPr bwMode="auto">
                            <a:xfrm>
                              <a:off x="5718" y="12733"/>
                              <a:ext cx="683" cy="3243"/>
                            </a:xfrm>
                            <a:prstGeom prst="flowChartAlternateProcess">
                              <a:avLst/>
                            </a:prstGeom>
                            <a:gradFill rotWithShape="0">
                              <a:gsLst>
                                <a:gs pos="0">
                                  <a:srgbClr val="D99694"/>
                                </a:gs>
                                <a:gs pos="50000">
                                  <a:srgbClr val="F2DCDB"/>
                                </a:gs>
                                <a:gs pos="100000">
                                  <a:srgbClr val="D99694"/>
                                </a:gs>
                              </a:gsLst>
                              <a:lin ang="18900000" scaled="1"/>
                            </a:gradFill>
                            <a:ln w="12700">
                              <a:solidFill>
                                <a:srgbClr val="D99694"/>
                              </a:solidFill>
                              <a:miter lim="800000"/>
                            </a:ln>
                            <a:effectLst/>
                          </wps:spPr>
                          <wps:txbx>
                            <w:txbxContent>
                              <w:p>
                                <w:pPr>
                                  <w:pStyle w:val="14"/>
                                </w:pPr>
                                <w:r>
                                  <w:rPr>
                                    <w:rFonts w:hint="eastAsia"/>
                                  </w:rPr>
                                  <w:t>环境管理负责人</w:t>
                                </w:r>
                              </w:p>
                            </w:txbxContent>
                          </wps:txbx>
                          <wps:bodyPr rot="0" vert="horz" wrap="square" lIns="91440" tIns="45720" rIns="91440" bIns="45720" anchor="t" anchorCtr="0" upright="1">
                            <a:noAutofit/>
                          </wps:bodyPr>
                        </wps:wsp>
                        <wps:wsp>
                          <wps:cNvPr id="175" name="AutoShape 47"/>
                          <wps:cNvSpPr>
                            <a:spLocks noChangeArrowheads="1"/>
                          </wps:cNvSpPr>
                          <wps:spPr bwMode="auto">
                            <a:xfrm>
                              <a:off x="7083" y="12733"/>
                              <a:ext cx="683" cy="3243"/>
                            </a:xfrm>
                            <a:prstGeom prst="flowChartAlternateProcess">
                              <a:avLst/>
                            </a:prstGeom>
                            <a:gradFill rotWithShape="0">
                              <a:gsLst>
                                <a:gs pos="0">
                                  <a:srgbClr val="D99694"/>
                                </a:gs>
                                <a:gs pos="50000">
                                  <a:srgbClr val="F2DCDB"/>
                                </a:gs>
                                <a:gs pos="100000">
                                  <a:srgbClr val="D99694"/>
                                </a:gs>
                              </a:gsLst>
                              <a:lin ang="18900000" scaled="1"/>
                            </a:gradFill>
                            <a:ln w="12700">
                              <a:solidFill>
                                <a:srgbClr val="D99694"/>
                              </a:solidFill>
                              <a:miter lim="800000"/>
                            </a:ln>
                            <a:effectLst/>
                          </wps:spPr>
                          <wps:txbx>
                            <w:txbxContent>
                              <w:p>
                                <w:pPr>
                                  <w:pStyle w:val="14"/>
                                </w:pPr>
                                <w:r>
                                  <w:rPr>
                                    <w:rFonts w:hint="eastAsia"/>
                                  </w:rPr>
                                  <w:t>劳动管理负责人</w:t>
                                </w:r>
                              </w:p>
                            </w:txbxContent>
                          </wps:txbx>
                          <wps:bodyPr rot="0" vert="horz" wrap="square" lIns="91440" tIns="45720" rIns="91440" bIns="45720" anchor="t" anchorCtr="0" upright="1">
                            <a:noAutofit/>
                          </wps:bodyPr>
                        </wps:wsp>
                        <wps:wsp>
                          <wps:cNvPr id="176" name="AutoShape 48"/>
                          <wps:cNvSpPr>
                            <a:spLocks noChangeArrowheads="1"/>
                          </wps:cNvSpPr>
                          <wps:spPr bwMode="auto">
                            <a:xfrm>
                              <a:off x="8347" y="12733"/>
                              <a:ext cx="683" cy="3243"/>
                            </a:xfrm>
                            <a:prstGeom prst="flowChartAlternateProcess">
                              <a:avLst/>
                            </a:prstGeom>
                            <a:gradFill rotWithShape="0">
                              <a:gsLst>
                                <a:gs pos="0">
                                  <a:srgbClr val="D99694"/>
                                </a:gs>
                                <a:gs pos="50000">
                                  <a:srgbClr val="F2DCDB"/>
                                </a:gs>
                                <a:gs pos="100000">
                                  <a:srgbClr val="D99694"/>
                                </a:gs>
                              </a:gsLst>
                              <a:lin ang="18900000" scaled="1"/>
                            </a:gradFill>
                            <a:ln w="12700">
                              <a:solidFill>
                                <a:srgbClr val="D99694"/>
                              </a:solidFill>
                              <a:miter lim="800000"/>
                            </a:ln>
                            <a:effectLst/>
                          </wps:spPr>
                          <wps:txbx>
                            <w:txbxContent>
                              <w:p>
                                <w:pPr>
                                  <w:pStyle w:val="14"/>
                                </w:pPr>
                                <w:r>
                                  <w:rPr>
                                    <w:rFonts w:hint="eastAsia"/>
                                  </w:rPr>
                                  <w:t>其他有关部门</w:t>
                                </w:r>
                              </w:p>
                            </w:txbxContent>
                          </wps:txbx>
                          <wps:bodyPr rot="0" vert="horz" wrap="square" lIns="91440" tIns="45720" rIns="91440" bIns="45720" anchor="t" anchorCtr="0" upright="1">
                            <a:noAutofit/>
                          </wps:bodyPr>
                        </wps:wsp>
                      </wpg:grpSp>
                      <wpg:grpSp>
                        <wpg:cNvPr id="177" name="Group 49"/>
                        <wpg:cNvGrpSpPr/>
                        <wpg:grpSpPr>
                          <a:xfrm>
                            <a:off x="3080" y="11144"/>
                            <a:ext cx="5585" cy="1589"/>
                            <a:chOff x="3080" y="11144"/>
                            <a:chExt cx="5585" cy="1589"/>
                          </a:xfrm>
                        </wpg:grpSpPr>
                        <wps:wsp>
                          <wps:cNvPr id="178" name="AutoShape 50"/>
                          <wps:cNvCnPr>
                            <a:cxnSpLocks noChangeShapeType="1"/>
                          </wps:cNvCnPr>
                          <wps:spPr bwMode="auto">
                            <a:xfrm>
                              <a:off x="5973" y="11144"/>
                              <a:ext cx="0" cy="326"/>
                            </a:xfrm>
                            <a:prstGeom prst="straightConnector1">
                              <a:avLst/>
                            </a:prstGeom>
                            <a:noFill/>
                            <a:ln w="12700">
                              <a:solidFill>
                                <a:srgbClr val="D99694"/>
                              </a:solidFill>
                              <a:round/>
                            </a:ln>
                            <a:effectLst/>
                          </wps:spPr>
                          <wps:bodyPr/>
                        </wps:wsp>
                        <wps:wsp>
                          <wps:cNvPr id="179" name="AutoShape 51"/>
                          <wps:cNvCnPr>
                            <a:cxnSpLocks noChangeShapeType="1"/>
                          </wps:cNvCnPr>
                          <wps:spPr bwMode="auto">
                            <a:xfrm>
                              <a:off x="3080" y="12246"/>
                              <a:ext cx="5585" cy="0"/>
                            </a:xfrm>
                            <a:prstGeom prst="straightConnector1">
                              <a:avLst/>
                            </a:prstGeom>
                            <a:noFill/>
                            <a:ln w="12700">
                              <a:solidFill>
                                <a:srgbClr val="D99694"/>
                              </a:solidFill>
                              <a:round/>
                            </a:ln>
                            <a:effectLst/>
                          </wps:spPr>
                          <wps:bodyPr/>
                        </wps:wsp>
                        <wps:wsp>
                          <wps:cNvPr id="180" name="AutoShape 52"/>
                          <wps:cNvCnPr>
                            <a:cxnSpLocks noChangeShapeType="1"/>
                          </wps:cNvCnPr>
                          <wps:spPr bwMode="auto">
                            <a:xfrm>
                              <a:off x="3080" y="12246"/>
                              <a:ext cx="0" cy="412"/>
                            </a:xfrm>
                            <a:prstGeom prst="straightConnector1">
                              <a:avLst/>
                            </a:prstGeom>
                            <a:noFill/>
                            <a:ln w="12700">
                              <a:solidFill>
                                <a:srgbClr val="D99694"/>
                              </a:solidFill>
                              <a:round/>
                            </a:ln>
                            <a:effectLst/>
                          </wps:spPr>
                          <wps:bodyPr/>
                        </wps:wsp>
                        <wps:wsp>
                          <wps:cNvPr id="181" name="AutoShape 53"/>
                          <wps:cNvCnPr>
                            <a:cxnSpLocks noChangeShapeType="1"/>
                          </wps:cNvCnPr>
                          <wps:spPr bwMode="auto">
                            <a:xfrm>
                              <a:off x="4708" y="12246"/>
                              <a:ext cx="0" cy="487"/>
                            </a:xfrm>
                            <a:prstGeom prst="straightConnector1">
                              <a:avLst/>
                            </a:prstGeom>
                            <a:noFill/>
                            <a:ln w="12700">
                              <a:solidFill>
                                <a:srgbClr val="D99694"/>
                              </a:solidFill>
                              <a:round/>
                            </a:ln>
                            <a:effectLst/>
                          </wps:spPr>
                          <wps:bodyPr/>
                        </wps:wsp>
                        <wps:wsp>
                          <wps:cNvPr id="182" name="AutoShape 54"/>
                          <wps:cNvCnPr>
                            <a:cxnSpLocks noChangeShapeType="1"/>
                          </wps:cNvCnPr>
                          <wps:spPr bwMode="auto">
                            <a:xfrm>
                              <a:off x="5973" y="11996"/>
                              <a:ext cx="0" cy="737"/>
                            </a:xfrm>
                            <a:prstGeom prst="straightConnector1">
                              <a:avLst/>
                            </a:prstGeom>
                            <a:noFill/>
                            <a:ln w="12700">
                              <a:solidFill>
                                <a:srgbClr val="D99694"/>
                              </a:solidFill>
                              <a:round/>
                            </a:ln>
                            <a:effectLst/>
                          </wps:spPr>
                          <wps:bodyPr/>
                        </wps:wsp>
                        <wps:wsp>
                          <wps:cNvPr id="183" name="AutoShape 55"/>
                          <wps:cNvCnPr>
                            <a:cxnSpLocks noChangeShapeType="1"/>
                          </wps:cNvCnPr>
                          <wps:spPr bwMode="auto">
                            <a:xfrm>
                              <a:off x="7438" y="12246"/>
                              <a:ext cx="0" cy="487"/>
                            </a:xfrm>
                            <a:prstGeom prst="straightConnector1">
                              <a:avLst/>
                            </a:prstGeom>
                            <a:noFill/>
                            <a:ln w="12700">
                              <a:solidFill>
                                <a:srgbClr val="D99694"/>
                              </a:solidFill>
                              <a:round/>
                            </a:ln>
                            <a:effectLst/>
                          </wps:spPr>
                          <wps:bodyPr/>
                        </wps:wsp>
                        <wps:wsp>
                          <wps:cNvPr id="184" name="AutoShape 56"/>
                          <wps:cNvCnPr>
                            <a:cxnSpLocks noChangeShapeType="1"/>
                          </wps:cNvCnPr>
                          <wps:spPr bwMode="auto">
                            <a:xfrm>
                              <a:off x="8665" y="12246"/>
                              <a:ext cx="0" cy="487"/>
                            </a:xfrm>
                            <a:prstGeom prst="straightConnector1">
                              <a:avLst/>
                            </a:prstGeom>
                            <a:noFill/>
                            <a:ln w="12700">
                              <a:solidFill>
                                <a:srgbClr val="D99694"/>
                              </a:solidFill>
                              <a:round/>
                            </a:ln>
                            <a:effectLst/>
                          </wps:spPr>
                          <wps:bodyPr/>
                        </wps:wsp>
                      </wpg:grpSp>
                    </wpg:wgp>
                  </a:graphicData>
                </a:graphic>
              </wp:inline>
            </w:drawing>
          </mc:Choice>
          <mc:Fallback>
            <w:pict>
              <v:group id="组合 276998" o:spid="_x0000_s1026" o:spt="203" style="height:240pt;width:311.55pt;" coordorigin="2846,10618" coordsize="6184,5460" o:gfxdata="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">
                <o:lock v:ext="edit" aspectratio="f"/>
                <v:group id="Group 41" o:spid="_x0000_s1026" o:spt="203" style="position:absolute;left:2846;top:10618;height:5460;width:6184;" coordorigin="2846,10618" coordsize="6184,5460" o:gfxdata="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X/R7L0AAADcAAAADwAAAAAAAAABACAAAAAiAAAAZHJzL2Rvd25yZXYueG1s&#10;UEsBAhQAFAAAAAgAh07iQDMvBZ47AAAAOQAAABUAAAAAAAAAAQAgAAAADAEAAGRycy9ncm91cHNo&#10;YXBleG1sLnhtbFBLBQYAAAAABgAGAGABAADJAwAAAAA=&#10;">
                  <o:lock v:ext="edit" aspectratio="f"/>
                  <v:shape id="AutoShape 42" o:spid="_x0000_s1026" o:spt="176" type="#_x0000_t176" style="position:absolute;left:5042;top:10618;height:526;width:2041;" fillcolor="#D99694" filled="t" stroked="t" coordsize="21600,21600" o:gfxdata="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7uF174A&#10;AADcAAAADwAAAAAAAAABACAAAAAiAAAAZHJzL2Rvd25yZXYueG1sUEsBAhQAFAAAAAgAh07iQDMv&#10;BZ47AAAAOQAAABAAAAAAAAAAAQAgAAAADQEAAGRycy9zaGFwZXhtbC54bWxQSwUGAAAAAAYABgBb&#10;AQAAtwMAAAAA&#10;">
                    <v:fill type="gradient" on="t" color2="#F2DCDB" angle="135" focus="50%" focussize="0,0"/>
                    <v:stroke weight="1pt" color="#D99694" miterlimit="8" joinstyle="miter"/>
                    <v:imagedata o:title=""/>
                    <o:lock v:ext="edit" aspectratio="f"/>
                    <v:textbox>
                      <w:txbxContent>
                        <w:p>
                          <w:pPr>
                            <w:pStyle w:val="14"/>
                          </w:pPr>
                          <w:r>
                            <w:rPr>
                              <w:rFonts w:hint="eastAsia"/>
                            </w:rPr>
                            <w:t>项目经理</w:t>
                          </w:r>
                        </w:p>
                      </w:txbxContent>
                    </v:textbox>
                  </v:shape>
                  <v:shape id="AutoShape 43" o:spid="_x0000_s1026" o:spt="176" type="#_x0000_t176" style="position:absolute;left:5042;top:11470;height:526;width:2041;" fillcolor="#D99694" filled="t" stroked="t" coordsize="21600,21600" o:gfxdata="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PcgTLsAAADc&#10;AAAADwAAAAAAAAABACAAAAAiAAAAZHJzL2Rvd25yZXYueG1sUEsBAhQAFAAAAAgAh07iQDMvBZ47&#10;AAAAOQAAABAAAAAAAAAAAQAgAAAACgEAAGRycy9zaGFwZXhtbC54bWxQSwUGAAAAAAYABgBbAQAA&#10;tAMAAAAA&#10;">
                    <v:fill type="gradient" on="t" color2="#F2DCDB" angle="135" focus="50%" focussize="0,0"/>
                    <v:stroke weight="1pt" color="#D99694" miterlimit="8" joinstyle="miter"/>
                    <v:imagedata o:title=""/>
                    <o:lock v:ext="edit" aspectratio="f"/>
                    <v:textbox>
                      <w:txbxContent>
                        <w:p>
                          <w:pPr>
                            <w:pStyle w:val="14"/>
                          </w:pPr>
                          <w:r>
                            <w:rPr>
                              <w:rFonts w:hint="eastAsia"/>
                            </w:rPr>
                            <w:t>质安副经理</w:t>
                          </w:r>
                        </w:p>
                      </w:txbxContent>
                    </v:textbox>
                  </v:shape>
                  <v:shape id="AutoShape 44" o:spid="_x0000_s1026" o:spt="176" type="#_x0000_t176" style="position:absolute;left:2846;top:12658;height:3420;width:610;" fillcolor="#D99694" filled="t" stroked="t" coordsize="21600,21600" o:gfxdata="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CW+O7sAAADc&#10;AAAADwAAAAAAAAABACAAAAAiAAAAZHJzL2Rvd25yZXYueG1sUEsBAhQAFAAAAAgAh07iQDMvBZ47&#10;AAAAOQAAABAAAAAAAAAAAQAgAAAACgEAAGRycy9zaGFwZXhtbC54bWxQSwUGAAAAAAYABgBbAQAA&#10;tAMAAAAA&#10;">
                    <v:fill type="gradient" on="t" color2="#F2DCDB" angle="135" focus="50%" focussize="0,0"/>
                    <v:stroke weight="1pt" color="#D99694" miterlimit="8" joinstyle="miter"/>
                    <v:imagedata o:title=""/>
                    <o:lock v:ext="edit" aspectratio="f"/>
                    <v:textbox>
                      <w:txbxContent>
                        <w:p>
                          <w:pPr>
                            <w:pStyle w:val="14"/>
                          </w:pPr>
                          <w:r>
                            <w:rPr>
                              <w:rFonts w:hint="eastAsia"/>
                            </w:rPr>
                            <w:t>项目安全员</w:t>
                          </w:r>
                        </w:p>
                      </w:txbxContent>
                    </v:textbox>
                  </v:shape>
                  <v:shape id="AutoShape 45" o:spid="_x0000_s1026" o:spt="176" type="#_x0000_t176" style="position:absolute;left:4338;top:12733;height:3345;width:683;" fillcolor="#D99694" filled="t" stroked="t" coordsize="21600,21600" o:gfxdata="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pG6C8AAAA&#10;3AAAAA8AAAAAAAAAAQAgAAAAIgAAAGRycy9kb3ducmV2LnhtbFBLAQIUABQAAAAIAIdO4kAzLwWe&#10;OwAAADkAAAAQAAAAAAAAAAEAIAAAAAsBAABkcnMvc2hhcGV4bWwueG1sUEsFBgAAAAAGAAYAWwEA&#10;ALUDAAAAAA==&#10;">
                    <v:fill type="gradient" on="t" color2="#F2DCDB" angle="135" focus="50%" focussize="0,0"/>
                    <v:stroke weight="1pt" color="#D99694" miterlimit="8" joinstyle="miter"/>
                    <v:imagedata o:title=""/>
                    <o:lock v:ext="edit" aspectratio="f"/>
                    <v:textbox>
                      <w:txbxContent>
                        <w:p>
                          <w:pPr>
                            <w:pStyle w:val="14"/>
                          </w:pPr>
                          <w:r>
                            <w:rPr>
                              <w:rFonts w:hint="eastAsia"/>
                            </w:rPr>
                            <w:t>后勤保障部</w:t>
                          </w:r>
                        </w:p>
                      </w:txbxContent>
                    </v:textbox>
                  </v:shape>
                  <v:shape id="AutoShape 46" o:spid="_x0000_s1026" o:spt="176" type="#_x0000_t176" style="position:absolute;left:5718;top:12733;height:3243;width:683;" fillcolor="#D99694" filled="t" stroked="t" coordsize="21600,21600" o:gfxdata="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Ag9S8AAAA&#10;3AAAAA8AAAAAAAAAAQAgAAAAIgAAAGRycy9kb3ducmV2LnhtbFBLAQIUABQAAAAIAIdO4kAzLwWe&#10;OwAAADkAAAAQAAAAAAAAAAEAIAAAAAsBAABkcnMvc2hhcGV4bWwueG1sUEsFBgAAAAAGAAYAWwEA&#10;ALUDAAAAAA==&#10;">
                    <v:fill type="gradient" on="t" color2="#F2DCDB" angle="135" focus="50%" focussize="0,0"/>
                    <v:stroke weight="1pt" color="#D99694" miterlimit="8" joinstyle="miter"/>
                    <v:imagedata o:title=""/>
                    <o:lock v:ext="edit" aspectratio="f"/>
                    <v:textbox>
                      <w:txbxContent>
                        <w:p>
                          <w:pPr>
                            <w:pStyle w:val="14"/>
                          </w:pPr>
                          <w:r>
                            <w:rPr>
                              <w:rFonts w:hint="eastAsia"/>
                            </w:rPr>
                            <w:t>环境管理负责人</w:t>
                          </w:r>
                        </w:p>
                      </w:txbxContent>
                    </v:textbox>
                  </v:shape>
                  <v:shape id="AutoShape 47" o:spid="_x0000_s1026" o:spt="176" type="#_x0000_t176" style="position:absolute;left:7083;top:12733;height:3243;width:683;" fillcolor="#D99694" filled="t" stroked="t" coordsize="21600,21600" o:gfxdata="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MJk+8AAAA&#10;3AAAAA8AAAAAAAAAAQAgAAAAIgAAAGRycy9kb3ducmV2LnhtbFBLAQIUABQAAAAIAIdO4kAzLwWe&#10;OwAAADkAAAAQAAAAAAAAAAEAIAAAAAsBAABkcnMvc2hhcGV4bWwueG1sUEsFBgAAAAAGAAYAWwEA&#10;ALUDAAAAAA==&#10;">
                    <v:fill type="gradient" on="t" color2="#F2DCDB" angle="135" focus="50%" focussize="0,0"/>
                    <v:stroke weight="1pt" color="#D99694" miterlimit="8" joinstyle="miter"/>
                    <v:imagedata o:title=""/>
                    <o:lock v:ext="edit" aspectratio="f"/>
                    <v:textbox>
                      <w:txbxContent>
                        <w:p>
                          <w:pPr>
                            <w:pStyle w:val="14"/>
                          </w:pPr>
                          <w:r>
                            <w:rPr>
                              <w:rFonts w:hint="eastAsia"/>
                            </w:rPr>
                            <w:t>劳动管理负责人</w:t>
                          </w:r>
                        </w:p>
                      </w:txbxContent>
                    </v:textbox>
                  </v:shape>
                  <v:shape id="AutoShape 48" o:spid="_x0000_s1026" o:spt="176" type="#_x0000_t176" style="position:absolute;left:8347;top:12733;height:3243;width:683;" fillcolor="#D99694" filled="t" stroked="t" coordsize="21600,21600" o:gfxdata="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Hrg4ugAAANwA&#10;AAAPAAAAAAAAAAEAIAAAACIAAABkcnMvZG93bnJldi54bWxQSwECFAAUAAAACACHTuJAMy8FnjsA&#10;AAA5AAAAEAAAAAAAAAABACAAAAAJAQAAZHJzL3NoYXBleG1sLnhtbFBLBQYAAAAABgAGAFsBAACz&#10;AwAAAAA=&#10;">
                    <v:fill type="gradient" on="t" color2="#F2DCDB" angle="135" focus="50%" focussize="0,0"/>
                    <v:stroke weight="1pt" color="#D99694" miterlimit="8" joinstyle="miter"/>
                    <v:imagedata o:title=""/>
                    <o:lock v:ext="edit" aspectratio="f"/>
                    <v:textbox>
                      <w:txbxContent>
                        <w:p>
                          <w:pPr>
                            <w:pStyle w:val="14"/>
                          </w:pPr>
                          <w:r>
                            <w:rPr>
                              <w:rFonts w:hint="eastAsia"/>
                            </w:rPr>
                            <w:t>其他有关部门</w:t>
                          </w:r>
                        </w:p>
                      </w:txbxContent>
                    </v:textbox>
                  </v:shape>
                </v:group>
                <v:group id="Group 49" o:spid="_x0000_s1026" o:spt="203" style="position:absolute;left:3080;top:11144;height:1589;width:5585;" coordorigin="3080,11144" coordsize="5585,1589" o:gfxdata="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nV22L0AAADcAAAADwAAAAAAAAABACAAAAAiAAAAZHJzL2Rvd25yZXYueG1s&#10;UEsBAhQAFAAAAAgAh07iQDMvBZ47AAAAOQAAABUAAAAAAAAAAQAgAAAADAEAAGRycy9ncm91cHNo&#10;YXBleG1sLnhtbFBLBQYAAAAABgAGAGABAADJAwAAAAA=&#10;">
                  <o:lock v:ext="edit" aspectratio="f"/>
                  <v:shape id="AutoShape 50" o:spid="_x0000_s1026" o:spt="32" type="#_x0000_t32" style="position:absolute;left:5973;top:11144;height:326;width:0;" filled="f" stroked="t" coordsize="21600,21600" o:gfxdata="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PV4S/&#10;AAAA3AAAAA8AAAAAAAAAAQAgAAAAIgAAAGRycy9kb3ducmV2LnhtbFBLAQIUABQAAAAIAIdO4kAz&#10;LwWeOwAAADkAAAAQAAAAAAAAAAEAIAAAAA4BAABkcnMvc2hhcGV4bWwueG1sUEsFBgAAAAAGAAYA&#10;WwEAALgDAAAAAA==&#10;">
                    <v:fill on="f" focussize="0,0"/>
                    <v:stroke weight="1pt" color="#D99694" joinstyle="round"/>
                    <v:imagedata o:title=""/>
                    <o:lock v:ext="edit" aspectratio="f"/>
                  </v:shape>
                  <v:shape id="AutoShape 51" o:spid="_x0000_s1026" o:spt="32" type="#_x0000_t32" style="position:absolute;left:3080;top:12246;height:0;width:5585;" filled="f" stroked="t" coordsize="21600,21600" o:gfxdata="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IfvQAA&#10;ANwAAAAPAAAAAAAAAAEAIAAAACIAAABkcnMvZG93bnJldi54bWxQSwECFAAUAAAACACHTuJAMy8F&#10;njsAAAA5AAAAEAAAAAAAAAABACAAAAAMAQAAZHJzL3NoYXBleG1sLnhtbFBLBQYAAAAABgAGAFsB&#10;AAC2AwAAAAA=&#10;">
                    <v:fill on="f" focussize="0,0"/>
                    <v:stroke weight="1pt" color="#D99694" joinstyle="round"/>
                    <v:imagedata o:title=""/>
                    <o:lock v:ext="edit" aspectratio="f"/>
                  </v:shape>
                  <v:shape id="AutoShape 52" o:spid="_x0000_s1026" o:spt="32" type="#_x0000_t32" style="position:absolute;left:3080;top:12246;height:412;width:0;" filled="f" stroked="t" coordsize="21600,21600" o:gfxdata="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wrpb4A&#10;AADcAAAADwAAAAAAAAABACAAAAAiAAAAZHJzL2Rvd25yZXYueG1sUEsBAhQAFAAAAAgAh07iQDMv&#10;BZ47AAAAOQAAABAAAAAAAAAAAQAgAAAADQEAAGRycy9zaGFwZXhtbC54bWxQSwUGAAAAAAYABgBb&#10;AQAAtwMAAAAA&#10;">
                    <v:fill on="f" focussize="0,0"/>
                    <v:stroke weight="1pt" color="#D99694" joinstyle="round"/>
                    <v:imagedata o:title=""/>
                    <o:lock v:ext="edit" aspectratio="f"/>
                  </v:shape>
                  <v:shape id="AutoShape 53" o:spid="_x0000_s1026" o:spt="32" type="#_x0000_t32" style="position:absolute;left:4708;top:12246;height:487;width:0;" filled="f" stroked="t" coordsize="21600,21600" o:gfxdata="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gjj68AAAA&#10;3AAAAA8AAAAAAAAAAQAgAAAAIgAAAGRycy9kb3ducmV2LnhtbFBLAQIUABQAAAAIAIdO4kAzLwWe&#10;OwAAADkAAAAQAAAAAAAAAAEAIAAAAAsBAABkcnMvc2hhcGV4bWwueG1sUEsFBgAAAAAGAAYAWwEA&#10;ALUDAAAAAA==&#10;">
                    <v:fill on="f" focussize="0,0"/>
                    <v:stroke weight="1pt" color="#D99694" joinstyle="round"/>
                    <v:imagedata o:title=""/>
                    <o:lock v:ext="edit" aspectratio="f"/>
                  </v:shape>
                  <v:shape id="AutoShape 54" o:spid="_x0000_s1026" o:spt="32" type="#_x0000_t32" style="position:absolute;left:5973;top:11996;height:737;width:0;" filled="f" stroked="t" coordsize="21600,21600" o:gfxdata="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HIQSbsAAADc&#10;AAAADwAAAAAAAAABACAAAAAiAAAAZHJzL2Rvd25yZXYueG1sUEsBAhQAFAAAAAgAh07iQDMvBZ47&#10;AAAAOQAAABAAAAAAAAAAAQAgAAAACgEAAGRycy9zaGFwZXhtbC54bWxQSwUGAAAAAAYABgBbAQAA&#10;tAMAAAAA&#10;">
                    <v:fill on="f" focussize="0,0"/>
                    <v:stroke weight="1pt" color="#D99694" joinstyle="round"/>
                    <v:imagedata o:title=""/>
                    <o:lock v:ext="edit" aspectratio="f"/>
                  </v:shape>
                  <v:shape id="AutoShape 55" o:spid="_x0000_s1026" o:spt="32" type="#_x0000_t32" style="position:absolute;left:7438;top:12246;height:487;width:0;" filled="f" stroked="t" coordsize="21600,21600" o:gfxdata="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PrXSugAAANwA&#10;AAAPAAAAAAAAAAEAIAAAACIAAABkcnMvZG93bnJldi54bWxQSwECFAAUAAAACACHTuJAMy8FnjsA&#10;AAA5AAAAEAAAAAAAAAABACAAAAAJAQAAZHJzL3NoYXBleG1sLnhtbFBLBQYAAAAABgAGAFsBAACz&#10;AwAAAAA=&#10;">
                    <v:fill on="f" focussize="0,0"/>
                    <v:stroke weight="1pt" color="#D99694" joinstyle="round"/>
                    <v:imagedata o:title=""/>
                    <o:lock v:ext="edit" aspectratio="f"/>
                  </v:shape>
                  <v:shape id="AutoShape 56" o:spid="_x0000_s1026" o:spt="32" type="#_x0000_t32" style="position:absolute;left:8665;top:12246;height:487;width:0;" filled="f" stroked="t" coordsize="21600,21600" o:gfxdata="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1y2mugAAANwA&#10;AAAPAAAAAAAAAAEAIAAAACIAAABkcnMvZG93bnJldi54bWxQSwECFAAUAAAACACHTuJAMy8FnjsA&#10;AAA5AAAAEAAAAAAAAAABACAAAAAJAQAAZHJzL3NoYXBleG1sLnhtbFBLBQYAAAAABgAGAFsBAACz&#10;AwAAAAA=&#10;">
                    <v:fill on="f" focussize="0,0"/>
                    <v:stroke weight="1pt" color="#D99694" joinstyle="round"/>
                    <v:imagedata o:title=""/>
                    <o:lock v:ext="edit" aspectratio="f"/>
                  </v:shape>
                </v:group>
                <w10:wrap type="none"/>
                <w10:anchorlock/>
              </v:group>
            </w:pict>
          </mc:Fallback>
        </mc:AlternateContent>
      </w:r>
    </w:p>
    <w:p>
      <w:pPr>
        <w:pStyle w:val="6"/>
      </w:pPr>
      <w:bookmarkStart w:id="155" w:name="_Toc277622071"/>
      <w:bookmarkStart w:id="156" w:name="_Toc266969914"/>
      <w:bookmarkStart w:id="157" w:name="_Toc277565784"/>
      <w:bookmarkStart w:id="158" w:name="_Toc266971846"/>
      <w:bookmarkStart w:id="159" w:name="_Toc269472594"/>
      <w:bookmarkStart w:id="160" w:name="_Toc269472180"/>
      <w:bookmarkStart w:id="161" w:name="_Toc266969701"/>
      <w:bookmarkStart w:id="162" w:name="_Toc266438233"/>
      <w:bookmarkStart w:id="163" w:name="_Toc269470841"/>
      <w:bookmarkStart w:id="164" w:name="_Toc269473008"/>
      <w:bookmarkStart w:id="165" w:name="_Toc266188669"/>
      <w:bookmarkStart w:id="166" w:name="_Toc269761788"/>
      <w:r>
        <w:rPr>
          <w:rFonts w:hint="eastAsia"/>
        </w:rPr>
        <w:t>2、环境保护管理体系</w:t>
      </w:r>
      <w:bookmarkEnd w:id="155"/>
      <w:bookmarkEnd w:id="156"/>
      <w:bookmarkEnd w:id="157"/>
      <w:bookmarkEnd w:id="158"/>
      <w:bookmarkEnd w:id="159"/>
      <w:bookmarkEnd w:id="160"/>
      <w:bookmarkEnd w:id="161"/>
      <w:bookmarkEnd w:id="162"/>
      <w:bookmarkEnd w:id="163"/>
      <w:bookmarkEnd w:id="164"/>
      <w:bookmarkEnd w:id="165"/>
      <w:bookmarkEnd w:id="166"/>
    </w:p>
    <w:p>
      <w:pPr>
        <w:pStyle w:val="6"/>
      </w:pPr>
      <w:r>
        <w:rPr>
          <w:rFonts w:hint="eastAsia"/>
        </w:rPr>
        <w:t>本工程坚决执行和落实环境保护目标责任制，把环境保护指标以责任书的形式层层分解到各有关施工安装队和个人，列入承包合同和岗位责任制，建立一支懂行善管的环保自我监控体系。</w:t>
      </w:r>
    </w:p>
    <w:p>
      <w:pPr>
        <w:pStyle w:val="6"/>
      </w:pPr>
      <w:r>
        <w:rPr>
          <w:rFonts w:hint="eastAsia"/>
        </w:rPr>
        <w:t>项目经理是环境保护工作的第一责任人，是施工现场环境保护自我监控体系的领导者和责任者，环保政绩也将作为我公司考核项目经理的一项重要内容。</w:t>
      </w:r>
    </w:p>
    <w:tbl>
      <w:tblPr>
        <w:tblStyle w:val="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8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shd w:val="clear" w:color="auto" w:fill="auto"/>
            <w:vAlign w:val="center"/>
          </w:tcPr>
          <w:p>
            <w:pPr>
              <w:pStyle w:val="12"/>
            </w:pPr>
            <w:r>
              <w:rPr>
                <w:rFonts w:hint="eastAsia"/>
              </w:rPr>
              <w:t>项次</w:t>
            </w:r>
          </w:p>
        </w:tc>
        <w:tc>
          <w:tcPr>
            <w:tcW w:w="8513" w:type="dxa"/>
            <w:shd w:val="clear" w:color="auto" w:fill="auto"/>
          </w:tcPr>
          <w:p>
            <w:pPr>
              <w:pStyle w:val="12"/>
            </w:pPr>
            <w:r>
              <w:rPr>
                <w:rFonts w:hint="eastAsia"/>
              </w:rPr>
              <w:t>环境保护管理体系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shd w:val="clear" w:color="auto" w:fill="auto"/>
            <w:vAlign w:val="center"/>
          </w:tcPr>
          <w:p>
            <w:pPr>
              <w:pStyle w:val="12"/>
            </w:pPr>
            <w:r>
              <w:rPr>
                <w:rFonts w:hint="eastAsia"/>
              </w:rPr>
              <w:t>1</w:t>
            </w:r>
          </w:p>
        </w:tc>
        <w:tc>
          <w:tcPr>
            <w:tcW w:w="8513" w:type="dxa"/>
            <w:shd w:val="clear" w:color="auto" w:fill="auto"/>
          </w:tcPr>
          <w:p>
            <w:pPr>
              <w:pStyle w:val="13"/>
            </w:pPr>
            <w:r>
              <w:rPr>
                <w:rFonts w:hint="eastAsia"/>
              </w:rPr>
              <w:t>施工现场建立环境保护，环境卫生管理和检查制度，并做好相应的检查记录。对施工现场作业人员进行相关的教育培训，考核包括环境保护、卫生等有关的法律、法规等内容。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shd w:val="clear" w:color="auto" w:fill="auto"/>
            <w:vAlign w:val="center"/>
          </w:tcPr>
          <w:p>
            <w:pPr>
              <w:pStyle w:val="12"/>
            </w:pPr>
            <w:r>
              <w:rPr>
                <w:rFonts w:hint="eastAsia"/>
              </w:rPr>
              <w:t>2</w:t>
            </w:r>
          </w:p>
        </w:tc>
        <w:tc>
          <w:tcPr>
            <w:tcW w:w="8513" w:type="dxa"/>
            <w:shd w:val="clear" w:color="auto" w:fill="auto"/>
          </w:tcPr>
          <w:p>
            <w:pPr>
              <w:pStyle w:val="13"/>
            </w:pPr>
            <w:r>
              <w:rPr>
                <w:rFonts w:hint="eastAsia"/>
              </w:rPr>
              <w:t>施工期间的噪声排放应符合国家规定的建筑施工场界噪声排放标准，夜间施工时，办理施工许可证，并做好告知工作。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3" w:type="dxa"/>
            <w:shd w:val="clear" w:color="auto" w:fill="auto"/>
            <w:vAlign w:val="center"/>
          </w:tcPr>
          <w:p>
            <w:pPr>
              <w:pStyle w:val="12"/>
            </w:pPr>
            <w:r>
              <w:rPr>
                <w:rFonts w:hint="eastAsia"/>
              </w:rPr>
              <w:t>3</w:t>
            </w:r>
          </w:p>
        </w:tc>
        <w:tc>
          <w:tcPr>
            <w:tcW w:w="8513" w:type="dxa"/>
            <w:shd w:val="clear" w:color="auto" w:fill="auto"/>
          </w:tcPr>
          <w:p>
            <w:pPr>
              <w:pStyle w:val="13"/>
            </w:pPr>
            <w:r>
              <w:rPr>
                <w:rFonts w:hint="eastAsia"/>
              </w:rPr>
              <w:t>施工现场污水排放按照当地的要求执行。施工现场的泥浆、污水未经处理的不得直接排入城市排水设施和河流、湖泊池塘等地方。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shd w:val="clear" w:color="auto" w:fill="auto"/>
            <w:vAlign w:val="center"/>
          </w:tcPr>
          <w:p>
            <w:pPr>
              <w:pStyle w:val="12"/>
            </w:pPr>
            <w:r>
              <w:rPr>
                <w:rFonts w:hint="eastAsia"/>
              </w:rPr>
              <w:t>4</w:t>
            </w:r>
          </w:p>
        </w:tc>
        <w:tc>
          <w:tcPr>
            <w:tcW w:w="8513" w:type="dxa"/>
            <w:shd w:val="clear" w:color="auto" w:fill="auto"/>
          </w:tcPr>
          <w:p>
            <w:pPr>
              <w:pStyle w:val="13"/>
            </w:pPr>
            <w:r>
              <w:rPr>
                <w:rFonts w:hint="eastAsia"/>
              </w:rPr>
              <w:t>施工现场产生的固定废弃物分类存放，建筑垃圾和生活垃圾要及时清理清运，有毒有害废弃物运送到专门的废弃物中心消纳。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shd w:val="clear" w:color="auto" w:fill="auto"/>
            <w:vAlign w:val="center"/>
          </w:tcPr>
          <w:p>
            <w:pPr>
              <w:pStyle w:val="12"/>
            </w:pPr>
            <w:r>
              <w:rPr>
                <w:rFonts w:hint="eastAsia"/>
              </w:rPr>
              <w:t>5</w:t>
            </w:r>
          </w:p>
        </w:tc>
        <w:tc>
          <w:tcPr>
            <w:tcW w:w="8513" w:type="dxa"/>
            <w:shd w:val="clear" w:color="auto" w:fill="auto"/>
          </w:tcPr>
          <w:p>
            <w:pPr>
              <w:pStyle w:val="13"/>
            </w:pPr>
            <w:r>
              <w:rPr>
                <w:rFonts w:hint="eastAsia"/>
              </w:rPr>
              <w:t>施工现场的裸露场地和集中堆放场地的土方采取覆盖、固话或绿化等措施。土方作业时采取防止扬尘的措施。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shd w:val="clear" w:color="auto" w:fill="auto"/>
            <w:vAlign w:val="center"/>
          </w:tcPr>
          <w:p>
            <w:pPr>
              <w:pStyle w:val="12"/>
            </w:pPr>
            <w:r>
              <w:rPr>
                <w:rFonts w:hint="eastAsia"/>
              </w:rPr>
              <w:t>6</w:t>
            </w:r>
          </w:p>
        </w:tc>
        <w:tc>
          <w:tcPr>
            <w:tcW w:w="8513" w:type="dxa"/>
            <w:shd w:val="clear" w:color="auto" w:fill="auto"/>
          </w:tcPr>
          <w:p>
            <w:pPr>
              <w:pStyle w:val="13"/>
            </w:pPr>
            <w:r>
              <w:rPr>
                <w:rFonts w:hint="eastAsia"/>
              </w:rPr>
              <w:t>建筑物内施工垃圾的清运，必须采取相应的容器或管道运输，严禁凌空抛掷。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3" w:type="dxa"/>
            <w:shd w:val="clear" w:color="auto" w:fill="auto"/>
            <w:vAlign w:val="center"/>
          </w:tcPr>
          <w:p>
            <w:pPr>
              <w:pStyle w:val="12"/>
            </w:pPr>
            <w:r>
              <w:rPr>
                <w:rFonts w:hint="eastAsia"/>
              </w:rPr>
              <w:t>7</w:t>
            </w:r>
          </w:p>
        </w:tc>
        <w:tc>
          <w:tcPr>
            <w:tcW w:w="8513" w:type="dxa"/>
            <w:shd w:val="clear" w:color="auto" w:fill="auto"/>
          </w:tcPr>
          <w:p>
            <w:pPr>
              <w:pStyle w:val="13"/>
            </w:pPr>
            <w:r>
              <w:rPr>
                <w:rFonts w:hint="eastAsia"/>
              </w:rPr>
              <w:t>施工现场使用的易飞扬的颗粒建筑材料应密闭存放或采取覆盖等措施。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shd w:val="clear" w:color="auto" w:fill="auto"/>
            <w:vAlign w:val="center"/>
          </w:tcPr>
          <w:p>
            <w:pPr>
              <w:pStyle w:val="12"/>
            </w:pPr>
            <w:r>
              <w:rPr>
                <w:rFonts w:hint="eastAsia"/>
              </w:rPr>
              <w:t>8</w:t>
            </w:r>
          </w:p>
        </w:tc>
        <w:tc>
          <w:tcPr>
            <w:tcW w:w="8513" w:type="dxa"/>
            <w:shd w:val="clear" w:color="auto" w:fill="auto"/>
          </w:tcPr>
          <w:p>
            <w:pPr>
              <w:pStyle w:val="13"/>
            </w:pPr>
            <w:r>
              <w:rPr>
                <w:rFonts w:hint="eastAsia"/>
              </w:rPr>
              <w:t>施工现场内严禁焚烧各类废弃物，禁止将有毒有害废弃物作土方回填。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shd w:val="clear" w:color="auto" w:fill="auto"/>
            <w:vAlign w:val="center"/>
          </w:tcPr>
          <w:p>
            <w:pPr>
              <w:pStyle w:val="12"/>
            </w:pPr>
            <w:r>
              <w:rPr>
                <w:rFonts w:hint="eastAsia"/>
              </w:rPr>
              <w:t>9</w:t>
            </w:r>
          </w:p>
        </w:tc>
        <w:tc>
          <w:tcPr>
            <w:tcW w:w="8513" w:type="dxa"/>
            <w:shd w:val="clear" w:color="auto" w:fill="auto"/>
          </w:tcPr>
          <w:p>
            <w:pPr>
              <w:pStyle w:val="13"/>
            </w:pPr>
            <w:r>
              <w:rPr>
                <w:rFonts w:hint="eastAsia"/>
              </w:rPr>
              <w:t>施工时发现文物、古迹、爆炸物、电缆等，应当停止施工，保护好现场，及时向有关部门报告，按照有关规定处理后方可继续施工。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shd w:val="clear" w:color="auto" w:fill="auto"/>
            <w:vAlign w:val="center"/>
          </w:tcPr>
          <w:p>
            <w:pPr>
              <w:pStyle w:val="12"/>
            </w:pPr>
            <w:r>
              <w:rPr>
                <w:rFonts w:hint="eastAsia"/>
              </w:rPr>
              <w:t>10</w:t>
            </w:r>
          </w:p>
        </w:tc>
        <w:tc>
          <w:tcPr>
            <w:tcW w:w="8513" w:type="dxa"/>
            <w:shd w:val="clear" w:color="auto" w:fill="auto"/>
          </w:tcPr>
          <w:p>
            <w:pPr>
              <w:pStyle w:val="13"/>
            </w:pPr>
            <w:r>
              <w:rPr>
                <w:rFonts w:hint="eastAsia"/>
              </w:rPr>
              <w:t>施工中需要停水、停电、封路而影响环境时，必须经有关部门批准，事先告示，并设有标志。</w:t>
            </w:r>
          </w:p>
        </w:tc>
      </w:tr>
    </w:tbl>
    <w:p>
      <w:pPr>
        <w:pStyle w:val="4"/>
        <w:numPr>
          <w:ilvl w:val="2"/>
          <w:numId w:val="0"/>
        </w:numPr>
        <w:ind w:leftChars="0"/>
        <w:rPr>
          <w:rFonts w:hint="eastAsia"/>
          <w:lang w:eastAsia="zh-CN"/>
        </w:rPr>
      </w:pPr>
      <w:bookmarkStart w:id="167" w:name="_Toc521841006"/>
      <w:bookmarkStart w:id="168" w:name="_Toc299074659"/>
      <w:bookmarkStart w:id="169" w:name="_Toc463945527"/>
      <w:bookmarkStart w:id="170" w:name="_Toc295238955"/>
      <w:bookmarkStart w:id="171" w:name="_Toc299075957"/>
      <w:bookmarkStart w:id="172" w:name="_Toc463949421"/>
      <w:bookmarkStart w:id="173" w:name="_Toc77021462"/>
      <w:bookmarkStart w:id="174" w:name="_Toc299070765"/>
      <w:bookmarkStart w:id="175" w:name="_Toc297623261"/>
      <w:bookmarkStart w:id="176" w:name="_Toc471468255"/>
      <w:bookmarkStart w:id="177" w:name="_Toc299075308"/>
      <w:bookmarkStart w:id="178" w:name="_Toc299072063"/>
      <w:bookmarkStart w:id="179" w:name="_Toc528853188"/>
      <w:bookmarkStart w:id="180" w:name="_Toc463945775"/>
      <w:bookmarkStart w:id="181" w:name="_Toc299069460"/>
      <w:bookmarkStart w:id="182" w:name="_Toc299072712"/>
      <w:bookmarkStart w:id="183" w:name="_Toc414702575"/>
      <w:bookmarkStart w:id="184" w:name="_Toc298918566"/>
      <w:bookmarkStart w:id="185" w:name="_Toc295239403"/>
      <w:bookmarkStart w:id="186" w:name="_Toc299071414"/>
      <w:bookmarkStart w:id="187" w:name="_Toc295239179"/>
      <w:bookmarkStart w:id="188" w:name="_Toc464218986"/>
      <w:bookmarkStart w:id="189" w:name="_Toc486939890"/>
      <w:bookmarkStart w:id="190" w:name="_Toc299073361"/>
      <w:bookmarkStart w:id="191" w:name="_Toc299076606"/>
      <w:bookmarkStart w:id="192" w:name="_Toc301876509"/>
      <w:bookmarkStart w:id="193" w:name="_Toc295238731"/>
      <w:bookmarkStart w:id="194" w:name="_Toc299074010"/>
      <w:bookmarkStart w:id="195" w:name="_Toc295238513"/>
      <w:bookmarkStart w:id="196" w:name="_Toc299070116"/>
      <w:bookmarkStart w:id="197" w:name="_Toc12964393"/>
      <w:bookmarkStart w:id="198" w:name="_Toc299077255"/>
      <w:bookmarkStart w:id="199" w:name="_Toc299077904"/>
    </w:p>
    <w:p>
      <w:pPr>
        <w:pStyle w:val="4"/>
        <w:numPr>
          <w:ilvl w:val="2"/>
          <w:numId w:val="0"/>
        </w:numPr>
        <w:ind w:leftChars="0"/>
      </w:pPr>
      <w:r>
        <w:rPr>
          <w:rFonts w:hint="eastAsia"/>
          <w:lang w:eastAsia="zh-CN"/>
        </w:rPr>
        <w:t>三、</w:t>
      </w:r>
      <w:r>
        <w:rPr>
          <w:rFonts w:hint="eastAsia"/>
        </w:rPr>
        <w:t>环境保护措施</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pPr>
        <w:pStyle w:val="6"/>
      </w:pPr>
      <w:r>
        <w:rPr>
          <w:rFonts w:hint="eastAsia"/>
        </w:rPr>
        <w:t>1、环境保护总体措施</w:t>
      </w:r>
    </w:p>
    <w:p>
      <w:pPr>
        <w:pStyle w:val="6"/>
      </w:pPr>
      <w:r>
        <w:rPr>
          <w:rFonts w:hint="eastAsia"/>
        </w:rPr>
        <w:t>本着“保护环境，营造绿色建筑；以人为本，关爱生命健康；追求社区、人居和施工环境的不断改善，实现个人、企业和社会的协调发展”这一环境理念，将根据国家的相关环境管理体系标准、本企业《环境及职业安全健康管理手册》，把“预防、控制、监督和监测”这一环境管理基本思想贯穿于整个施工生产过程中，以“预防”为核心，以“控制”为手段，通过“监督”和“监测”不断发现问题，约束自身行为，调节自身活动，为实现环境持续改善取得依据。</w:t>
      </w:r>
    </w:p>
    <w:tbl>
      <w:tblPr>
        <w:tblStyle w:val="9"/>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233"/>
        <w:gridCol w:w="2206"/>
        <w:gridCol w:w="1346"/>
        <w:gridCol w:w="2329"/>
        <w:gridCol w:w="1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38" w:type="dxa"/>
            <w:shd w:val="clear" w:color="auto" w:fill="auto"/>
            <w:vAlign w:val="center"/>
          </w:tcPr>
          <w:p>
            <w:pPr>
              <w:pStyle w:val="12"/>
            </w:pPr>
            <w:r>
              <w:rPr>
                <w:rFonts w:hint="eastAsia"/>
              </w:rPr>
              <w:t>序号</w:t>
            </w:r>
          </w:p>
        </w:tc>
        <w:tc>
          <w:tcPr>
            <w:tcW w:w="1233" w:type="dxa"/>
            <w:shd w:val="clear" w:color="auto" w:fill="auto"/>
            <w:vAlign w:val="center"/>
          </w:tcPr>
          <w:p>
            <w:pPr>
              <w:pStyle w:val="12"/>
            </w:pPr>
            <w:r>
              <w:rPr>
                <w:rFonts w:hint="eastAsia"/>
              </w:rPr>
              <w:t>名称</w:t>
            </w:r>
          </w:p>
        </w:tc>
        <w:tc>
          <w:tcPr>
            <w:tcW w:w="7315" w:type="dxa"/>
            <w:gridSpan w:val="4"/>
            <w:shd w:val="clear" w:color="auto" w:fill="auto"/>
            <w:vAlign w:val="center"/>
          </w:tcPr>
          <w:p>
            <w:pPr>
              <w:pStyle w:val="12"/>
            </w:pPr>
            <w:r>
              <w:rPr>
                <w:rFonts w:hint="eastAsia"/>
              </w:rPr>
              <w:t>保证措施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738" w:type="dxa"/>
            <w:shd w:val="clear" w:color="auto" w:fill="auto"/>
            <w:vAlign w:val="center"/>
          </w:tcPr>
          <w:p>
            <w:pPr>
              <w:pStyle w:val="12"/>
            </w:pPr>
            <w:r>
              <w:rPr>
                <w:rFonts w:hint="eastAsia"/>
              </w:rPr>
              <w:t>1</w:t>
            </w:r>
          </w:p>
        </w:tc>
        <w:tc>
          <w:tcPr>
            <w:tcW w:w="1233" w:type="dxa"/>
            <w:shd w:val="clear" w:color="auto" w:fill="auto"/>
            <w:vAlign w:val="center"/>
          </w:tcPr>
          <w:p>
            <w:pPr>
              <w:pStyle w:val="12"/>
            </w:pPr>
            <w:r>
              <w:rPr>
                <w:rFonts w:hint="eastAsia"/>
              </w:rPr>
              <w:t>现场场界噪音</w:t>
            </w:r>
          </w:p>
        </w:tc>
        <w:tc>
          <w:tcPr>
            <w:tcW w:w="7315" w:type="dxa"/>
            <w:gridSpan w:val="4"/>
            <w:shd w:val="clear" w:color="auto" w:fill="auto"/>
            <w:vAlign w:val="center"/>
          </w:tcPr>
          <w:p>
            <w:pPr>
              <w:pStyle w:val="13"/>
            </w:pPr>
            <w:r>
              <w:rPr>
                <w:rFonts w:hint="eastAsia"/>
              </w:rPr>
              <w:t>满足相关法规要求，遵守《建筑施工场界噪声限值》昼间＜70dB夜间＜55dB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38" w:type="dxa"/>
            <w:shd w:val="clear" w:color="auto" w:fill="auto"/>
            <w:vAlign w:val="center"/>
          </w:tcPr>
          <w:p>
            <w:pPr>
              <w:pStyle w:val="12"/>
            </w:pPr>
            <w:r>
              <w:rPr>
                <w:rFonts w:hint="eastAsia"/>
              </w:rPr>
              <w:t>2</w:t>
            </w:r>
          </w:p>
        </w:tc>
        <w:tc>
          <w:tcPr>
            <w:tcW w:w="1233" w:type="dxa"/>
            <w:shd w:val="clear" w:color="auto" w:fill="auto"/>
            <w:vAlign w:val="center"/>
          </w:tcPr>
          <w:p>
            <w:pPr>
              <w:pStyle w:val="12"/>
            </w:pPr>
            <w:r>
              <w:rPr>
                <w:rFonts w:hint="eastAsia"/>
              </w:rPr>
              <w:t>扬尘控制</w:t>
            </w:r>
          </w:p>
        </w:tc>
        <w:tc>
          <w:tcPr>
            <w:tcW w:w="7315" w:type="dxa"/>
            <w:gridSpan w:val="4"/>
            <w:shd w:val="clear" w:color="auto" w:fill="auto"/>
            <w:vAlign w:val="center"/>
          </w:tcPr>
          <w:p>
            <w:pPr>
              <w:pStyle w:val="13"/>
            </w:pPr>
            <w:r>
              <w:rPr>
                <w:rFonts w:hint="eastAsia"/>
              </w:rPr>
              <w:t>现场目视无灰尘，主要运输道路硬化率达到100%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38" w:type="dxa"/>
            <w:shd w:val="clear" w:color="auto" w:fill="auto"/>
            <w:vAlign w:val="center"/>
          </w:tcPr>
          <w:p>
            <w:pPr>
              <w:pStyle w:val="12"/>
            </w:pPr>
            <w:r>
              <w:rPr>
                <w:rFonts w:hint="eastAsia"/>
              </w:rPr>
              <w:t>3</w:t>
            </w:r>
          </w:p>
        </w:tc>
        <w:tc>
          <w:tcPr>
            <w:tcW w:w="1233" w:type="dxa"/>
            <w:shd w:val="clear" w:color="auto" w:fill="auto"/>
            <w:vAlign w:val="center"/>
          </w:tcPr>
          <w:p>
            <w:pPr>
              <w:pStyle w:val="12"/>
            </w:pPr>
            <w:r>
              <w:rPr>
                <w:rFonts w:hint="eastAsia"/>
              </w:rPr>
              <w:t>污水排放</w:t>
            </w:r>
          </w:p>
        </w:tc>
        <w:tc>
          <w:tcPr>
            <w:tcW w:w="7315" w:type="dxa"/>
            <w:gridSpan w:val="4"/>
            <w:shd w:val="clear" w:color="auto" w:fill="auto"/>
            <w:vAlign w:val="center"/>
          </w:tcPr>
          <w:p>
            <w:pPr>
              <w:pStyle w:val="13"/>
            </w:pPr>
            <w:r>
              <w:rPr>
                <w:rFonts w:hint="eastAsia"/>
              </w:rPr>
              <w:t>生活污水中的COD达标（COD=300mg/L），处理后排入排污系统。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38" w:type="dxa"/>
            <w:shd w:val="clear" w:color="auto" w:fill="auto"/>
            <w:vAlign w:val="center"/>
          </w:tcPr>
          <w:p>
            <w:pPr>
              <w:pStyle w:val="12"/>
            </w:pPr>
            <w:r>
              <w:rPr>
                <w:rFonts w:hint="eastAsia"/>
              </w:rPr>
              <w:t>4</w:t>
            </w:r>
          </w:p>
        </w:tc>
        <w:tc>
          <w:tcPr>
            <w:tcW w:w="1233" w:type="dxa"/>
            <w:shd w:val="clear" w:color="auto" w:fill="auto"/>
            <w:vAlign w:val="center"/>
          </w:tcPr>
          <w:p>
            <w:pPr>
              <w:pStyle w:val="12"/>
            </w:pPr>
            <w:r>
              <w:rPr>
                <w:rFonts w:hint="eastAsia"/>
              </w:rPr>
              <w:t>废弃物</w:t>
            </w:r>
          </w:p>
          <w:p>
            <w:pPr>
              <w:pStyle w:val="12"/>
            </w:pPr>
            <w:r>
              <w:rPr>
                <w:rFonts w:hint="eastAsia"/>
              </w:rPr>
              <w:t>管理</w:t>
            </w:r>
          </w:p>
        </w:tc>
        <w:tc>
          <w:tcPr>
            <w:tcW w:w="2206" w:type="dxa"/>
            <w:shd w:val="clear" w:color="auto" w:fill="auto"/>
            <w:vAlign w:val="center"/>
          </w:tcPr>
          <w:p>
            <w:pPr>
              <w:pStyle w:val="12"/>
            </w:pPr>
            <w:r>
              <w:rPr>
                <w:lang w:val="en-US"/>
              </w:rPr>
              <w:drawing>
                <wp:inline distT="0" distB="0" distL="0" distR="0">
                  <wp:extent cx="1076325" cy="847725"/>
                  <wp:effectExtent l="0" t="0" r="9525" b="9525"/>
                  <wp:docPr id="1750" name="图片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 name="图片 40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076325" cy="847725"/>
                          </a:xfrm>
                          <a:prstGeom prst="rect">
                            <a:avLst/>
                          </a:prstGeom>
                          <a:noFill/>
                          <a:ln>
                            <a:noFill/>
                          </a:ln>
                        </pic:spPr>
                      </pic:pic>
                    </a:graphicData>
                  </a:graphic>
                </wp:inline>
              </w:drawing>
            </w:r>
          </w:p>
        </w:tc>
        <w:tc>
          <w:tcPr>
            <w:tcW w:w="1346" w:type="dxa"/>
            <w:shd w:val="clear" w:color="auto" w:fill="auto"/>
            <w:vAlign w:val="center"/>
          </w:tcPr>
          <w:p>
            <w:pPr>
              <w:pStyle w:val="12"/>
            </w:pPr>
            <w:r>
              <w:rPr>
                <w:rFonts w:hint="eastAsia"/>
              </w:rPr>
              <w:t>生活垃圾分类处理</w:t>
            </w:r>
          </w:p>
        </w:tc>
        <w:tc>
          <w:tcPr>
            <w:tcW w:w="2329" w:type="dxa"/>
            <w:shd w:val="clear" w:color="auto" w:fill="auto"/>
            <w:vAlign w:val="center"/>
          </w:tcPr>
          <w:p>
            <w:pPr>
              <w:pStyle w:val="12"/>
            </w:pPr>
            <w:r>
              <w:rPr>
                <w:lang w:val="en-US"/>
              </w:rPr>
              <w:drawing>
                <wp:inline distT="0" distB="0" distL="0" distR="0">
                  <wp:extent cx="933450" cy="914400"/>
                  <wp:effectExtent l="0" t="0" r="0" b="0"/>
                  <wp:docPr id="1751" name="图片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 name="图片 40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933450" cy="914400"/>
                          </a:xfrm>
                          <a:prstGeom prst="rect">
                            <a:avLst/>
                          </a:prstGeom>
                          <a:noFill/>
                          <a:ln>
                            <a:noFill/>
                          </a:ln>
                        </pic:spPr>
                      </pic:pic>
                    </a:graphicData>
                  </a:graphic>
                </wp:inline>
              </w:drawing>
            </w:r>
          </w:p>
        </w:tc>
        <w:tc>
          <w:tcPr>
            <w:tcW w:w="1434" w:type="dxa"/>
            <w:shd w:val="clear" w:color="auto" w:fill="auto"/>
            <w:vAlign w:val="center"/>
          </w:tcPr>
          <w:p>
            <w:pPr>
              <w:pStyle w:val="12"/>
            </w:pPr>
            <w:r>
              <w:rPr>
                <w:rFonts w:hint="eastAsia"/>
              </w:rPr>
              <w:t>高空垃圾用密闭式垃圾桶搬运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38" w:type="dxa"/>
            <w:shd w:val="clear" w:color="auto" w:fill="auto"/>
            <w:vAlign w:val="center"/>
          </w:tcPr>
          <w:p>
            <w:pPr>
              <w:pStyle w:val="12"/>
            </w:pPr>
            <w:r>
              <w:rPr>
                <w:rFonts w:hint="eastAsia"/>
              </w:rPr>
              <w:t>5</w:t>
            </w:r>
          </w:p>
        </w:tc>
        <w:tc>
          <w:tcPr>
            <w:tcW w:w="1233" w:type="dxa"/>
            <w:shd w:val="clear" w:color="auto" w:fill="auto"/>
            <w:vAlign w:val="center"/>
          </w:tcPr>
          <w:p>
            <w:pPr>
              <w:pStyle w:val="12"/>
            </w:pPr>
            <w:r>
              <w:rPr>
                <w:rFonts w:hint="eastAsia"/>
              </w:rPr>
              <w:t>施工现场厕所布置</w:t>
            </w:r>
          </w:p>
        </w:tc>
        <w:tc>
          <w:tcPr>
            <w:tcW w:w="3552" w:type="dxa"/>
            <w:gridSpan w:val="2"/>
            <w:shd w:val="clear" w:color="auto" w:fill="auto"/>
            <w:vAlign w:val="center"/>
          </w:tcPr>
          <w:p>
            <w:pPr>
              <w:pStyle w:val="12"/>
            </w:pPr>
            <w:r>
              <w:rPr>
                <w:rFonts w:hint="eastAsia"/>
              </w:rPr>
              <w:t>地面厕内布置图</w:t>
            </w:r>
          </w:p>
        </w:tc>
        <w:tc>
          <w:tcPr>
            <w:tcW w:w="3763" w:type="dxa"/>
            <w:gridSpan w:val="2"/>
            <w:shd w:val="clear" w:color="auto" w:fill="auto"/>
            <w:vAlign w:val="center"/>
          </w:tcPr>
          <w:p>
            <w:pPr>
              <w:pStyle w:val="12"/>
            </w:pPr>
            <w:r>
              <w:rPr>
                <w:lang w:val="en-US"/>
              </w:rPr>
              <w:drawing>
                <wp:inline distT="0" distB="0" distL="0" distR="0">
                  <wp:extent cx="1771650" cy="1247775"/>
                  <wp:effectExtent l="0" t="0" r="0" b="9525"/>
                  <wp:docPr id="1752" name="图片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 name="图片 40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771650" cy="1247775"/>
                          </a:xfrm>
                          <a:prstGeom prst="rect">
                            <a:avLst/>
                          </a:prstGeom>
                          <a:noFill/>
                          <a:ln>
                            <a:noFill/>
                          </a:ln>
                        </pic:spPr>
                      </pic:pic>
                    </a:graphicData>
                  </a:graphic>
                </wp:inline>
              </w:drawing>
            </w:r>
          </w:p>
        </w:tc>
      </w:tr>
    </w:tbl>
    <w:p>
      <w:pPr>
        <w:numPr>
          <w:ilvl w:val="0"/>
          <w:numId w:val="0"/>
        </w:numPr>
        <w:spacing w:line="360" w:lineRule="auto"/>
        <w:rPr>
          <w:rFonts w:hint="eastAsia"/>
          <w:b/>
          <w:bCs/>
          <w:sz w:val="24"/>
          <w:lang w:val="en-US" w:eastAsia="zh-CN"/>
        </w:rPr>
      </w:pPr>
      <w:bookmarkStart w:id="200" w:name="_GoBack"/>
      <w:bookmarkEnd w:id="200"/>
    </w:p>
    <w:p>
      <w:pPr>
        <w:numPr>
          <w:ilvl w:val="0"/>
          <w:numId w:val="0"/>
        </w:numPr>
        <w:rPr>
          <w:rFonts w:hint="eastAsia" w:eastAsiaTheme="minorEastAsia"/>
          <w:b w:val="0"/>
          <w:bCs w:val="0"/>
          <w:sz w:val="32"/>
          <w:szCs w:val="40"/>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16E2FC"/>
    <w:multiLevelType w:val="singleLevel"/>
    <w:tmpl w:val="C816E2FC"/>
    <w:lvl w:ilvl="0" w:tentative="0">
      <w:start w:val="2"/>
      <w:numFmt w:val="chineseCounting"/>
      <w:suff w:val="nothing"/>
      <w:lvlText w:val="%1、"/>
      <w:lvlJc w:val="left"/>
      <w:rPr>
        <w:rFonts w:hint="eastAsia"/>
      </w:rPr>
    </w:lvl>
  </w:abstractNum>
  <w:abstractNum w:abstractNumId="1">
    <w:nsid w:val="036E37EC"/>
    <w:multiLevelType w:val="singleLevel"/>
    <w:tmpl w:val="036E37EC"/>
    <w:lvl w:ilvl="0" w:tentative="0">
      <w:start w:val="1"/>
      <w:numFmt w:val="decimal"/>
      <w:suff w:val="nothing"/>
      <w:lvlText w:val="%1、"/>
      <w:lvlJc w:val="left"/>
      <w:rPr>
        <w:rFonts w:hint="default"/>
        <w:b/>
        <w:bCs/>
      </w:rPr>
    </w:lvl>
  </w:abstractNum>
  <w:abstractNum w:abstractNumId="2">
    <w:nsid w:val="1009F45E"/>
    <w:multiLevelType w:val="singleLevel"/>
    <w:tmpl w:val="1009F45E"/>
    <w:lvl w:ilvl="0" w:tentative="0">
      <w:start w:val="1"/>
      <w:numFmt w:val="decimal"/>
      <w:suff w:val="nothing"/>
      <w:lvlText w:val="%1、"/>
      <w:lvlJc w:val="left"/>
      <w:rPr>
        <w:rFonts w:hint="default"/>
        <w:b/>
        <w:bCs/>
        <w:sz w:val="28"/>
        <w:szCs w:val="28"/>
      </w:rPr>
    </w:lvl>
  </w:abstractNum>
  <w:abstractNum w:abstractNumId="3">
    <w:nsid w:val="1B0669E1"/>
    <w:multiLevelType w:val="multilevel"/>
    <w:tmpl w:val="1B0669E1"/>
    <w:lvl w:ilvl="0" w:tentative="0">
      <w:start w:val="1"/>
      <w:numFmt w:val="chineseCountingThousand"/>
      <w:pStyle w:val="2"/>
      <w:suff w:val="space"/>
      <w:lvlText w:val="第%1章"/>
      <w:lvlJc w:val="center"/>
      <w:pPr>
        <w:ind w:left="0" w:firstLine="0"/>
      </w:pPr>
      <w:rPr>
        <w:rFonts w:hint="eastAsia" w:eastAsia="宋体"/>
        <w:b/>
        <w:sz w:val="28"/>
      </w:rPr>
    </w:lvl>
    <w:lvl w:ilvl="1" w:tentative="0">
      <w:start w:val="1"/>
      <w:numFmt w:val="chineseCountingThousand"/>
      <w:pStyle w:val="3"/>
      <w:suff w:val="space"/>
      <w:lvlText w:val="第%2节"/>
      <w:lvlJc w:val="center"/>
      <w:pPr>
        <w:ind w:left="3969" w:firstLine="0"/>
      </w:pPr>
      <w:rPr>
        <w:rFonts w:hint="eastAsia" w:eastAsia="宋体"/>
        <w:b/>
        <w:i w:val="0"/>
        <w:sz w:val="24"/>
      </w:rPr>
    </w:lvl>
    <w:lvl w:ilvl="2" w:tentative="0">
      <w:start w:val="1"/>
      <w:numFmt w:val="chineseCountingThousand"/>
      <w:pStyle w:val="4"/>
      <w:suff w:val="nothing"/>
      <w:lvlText w:val="%3、"/>
      <w:lvlJc w:val="left"/>
      <w:pPr>
        <w:ind w:left="0" w:firstLine="0"/>
      </w:pPr>
      <w:rPr>
        <w:rFonts w:hint="eastAsia" w:eastAsia="宋体"/>
        <w:b/>
        <w:i w:val="0"/>
        <w:sz w:val="20"/>
        <w:szCs w:val="15"/>
      </w:rPr>
    </w:lvl>
    <w:lvl w:ilvl="3" w:tentative="0">
      <w:start w:val="1"/>
      <w:numFmt w:val="decimal"/>
      <w:pStyle w:val="5"/>
      <w:suff w:val="nothing"/>
      <w:lvlText w:val="%4、"/>
      <w:lvlJc w:val="left"/>
      <w:pPr>
        <w:ind w:left="2577" w:firstLine="400"/>
      </w:pPr>
      <w:rPr>
        <w:rFonts w:hint="eastAsia" w:eastAsia="宋体"/>
        <w:b/>
        <w:i w:val="0"/>
        <w:sz w:val="24"/>
      </w:rPr>
    </w:lvl>
    <w:lvl w:ilvl="4" w:tentative="0">
      <w:start w:val="0"/>
      <w:numFmt w:val="decimal"/>
      <w:lvlText w:val=""/>
      <w:lvlJc w:val="left"/>
      <w:pPr>
        <w:ind w:left="0" w:firstLine="0"/>
      </w:pPr>
      <w:rPr>
        <w:rFonts w:hint="eastAsia"/>
      </w:rPr>
    </w:lvl>
    <w:lvl w:ilvl="5" w:tentative="0">
      <w:start w:val="0"/>
      <w:numFmt w:val="decimal"/>
      <w:lvlText w:val=""/>
      <w:lvlJc w:val="left"/>
      <w:pPr>
        <w:ind w:left="0" w:firstLine="0"/>
      </w:pPr>
      <w:rPr>
        <w:rFonts w:hint="eastAsia"/>
      </w:rPr>
    </w:lvl>
    <w:lvl w:ilvl="6" w:tentative="0">
      <w:start w:val="0"/>
      <w:numFmt w:val="decimal"/>
      <w:lvlText w:val=""/>
      <w:lvlJc w:val="left"/>
      <w:pPr>
        <w:ind w:left="0" w:firstLine="0"/>
      </w:pPr>
      <w:rPr>
        <w:rFonts w:hint="eastAsia"/>
      </w:rPr>
    </w:lvl>
    <w:lvl w:ilvl="7" w:tentative="0">
      <w:start w:val="0"/>
      <w:numFmt w:val="decimal"/>
      <w:lvlText w:val=""/>
      <w:lvlJc w:val="left"/>
      <w:pPr>
        <w:ind w:left="0" w:firstLine="0"/>
      </w:pPr>
      <w:rPr>
        <w:rFonts w:hint="eastAsia"/>
      </w:rPr>
    </w:lvl>
    <w:lvl w:ilvl="8" w:tentative="0">
      <w:start w:val="0"/>
      <w:numFmt w:val="decimal"/>
      <w:lvlText w:val=""/>
      <w:lvlJc w:val="left"/>
      <w:pPr>
        <w:ind w:left="0" w:firstLine="0"/>
      </w:pPr>
      <w:rPr>
        <w:rFonts w:hint="eastAsia"/>
      </w:rPr>
    </w:lvl>
  </w:abstractNum>
  <w:num w:numId="1">
    <w:abstractNumId w:val="3"/>
  </w:num>
  <w:num w:numId="2">
    <w:abstractNumId w:val="1"/>
  </w:num>
  <w:num w:numId="3">
    <w:abstractNumId w:val="0"/>
  </w:num>
  <w:num w:numId="4">
    <w:abstractNumId w:val="2"/>
  </w:num>
  <w:num w:numId="5">
    <w:abstractNumId w:val="3"/>
    <w:lvlOverride w:ilvl="1">
      <w:lvl w:ilvl="1" w:tentative="1">
        <w:start w:val="1"/>
        <w:numFmt w:val="chineseCountingThousand"/>
        <w:suff w:val="space"/>
        <w:lvlText w:val="第%2节"/>
        <w:lvlJc w:val="center"/>
        <w:pPr>
          <w:ind w:left="0" w:firstLine="0"/>
        </w:pPr>
        <w:rPr>
          <w:b/>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YxNDI0MmUzY2QxMDkxZjc3NWE2ZTkwMWRmMjZlYTkifQ=="/>
  </w:docVars>
  <w:rsids>
    <w:rsidRoot w:val="00000000"/>
    <w:rsid w:val="2EF0795A"/>
    <w:rsid w:val="39430057"/>
    <w:rsid w:val="4ABD24CA"/>
    <w:rsid w:val="5EA27B3E"/>
    <w:rsid w:val="62475B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3"/>
    <w:qFormat/>
    <w:uiPriority w:val="99"/>
    <w:pPr>
      <w:pageBreakBefore/>
      <w:numPr>
        <w:ilvl w:val="0"/>
        <w:numId w:val="1"/>
      </w:numPr>
      <w:spacing w:line="360" w:lineRule="auto"/>
      <w:jc w:val="center"/>
      <w:outlineLvl w:val="0"/>
    </w:pPr>
    <w:rPr>
      <w:b/>
      <w:bCs/>
      <w:kern w:val="44"/>
      <w:sz w:val="28"/>
      <w:szCs w:val="44"/>
    </w:rPr>
  </w:style>
  <w:style w:type="paragraph" w:styleId="3">
    <w:name w:val="heading 2"/>
    <w:basedOn w:val="1"/>
    <w:next w:val="4"/>
    <w:qFormat/>
    <w:uiPriority w:val="0"/>
    <w:pPr>
      <w:numPr>
        <w:ilvl w:val="1"/>
        <w:numId w:val="1"/>
      </w:numPr>
      <w:spacing w:line="360" w:lineRule="auto"/>
      <w:ind w:left="0"/>
      <w:jc w:val="center"/>
      <w:outlineLvl w:val="1"/>
    </w:pPr>
    <w:rPr>
      <w:rFonts w:ascii="宋体" w:hAnsi="宋体" w:cs="宋体"/>
      <w:b/>
      <w:bCs/>
      <w:kern w:val="0"/>
      <w:szCs w:val="24"/>
    </w:rPr>
  </w:style>
  <w:style w:type="paragraph" w:styleId="4">
    <w:name w:val="heading 3"/>
    <w:basedOn w:val="1"/>
    <w:next w:val="5"/>
    <w:qFormat/>
    <w:uiPriority w:val="0"/>
    <w:pPr>
      <w:numPr>
        <w:ilvl w:val="2"/>
        <w:numId w:val="1"/>
      </w:numPr>
      <w:spacing w:line="360" w:lineRule="auto"/>
      <w:jc w:val="left"/>
      <w:outlineLvl w:val="2"/>
    </w:pPr>
    <w:rPr>
      <w:rFonts w:ascii="宋体" w:hAnsi="宋体" w:cs="宋体"/>
      <w:b/>
      <w:bCs/>
      <w:kern w:val="0"/>
      <w:szCs w:val="24"/>
    </w:rPr>
  </w:style>
  <w:style w:type="paragraph" w:styleId="5">
    <w:name w:val="heading 4"/>
    <w:basedOn w:val="1"/>
    <w:next w:val="6"/>
    <w:qFormat/>
    <w:uiPriority w:val="0"/>
    <w:pPr>
      <w:numPr>
        <w:ilvl w:val="3"/>
        <w:numId w:val="1"/>
      </w:numPr>
      <w:spacing w:line="360" w:lineRule="auto"/>
      <w:jc w:val="left"/>
      <w:outlineLvl w:val="3"/>
    </w:pPr>
    <w:rPr>
      <w:rFonts w:ascii="宋体" w:hAnsi="宋体" w:cs="宋体"/>
      <w:b/>
      <w:bCs/>
      <w:kern w:val="0"/>
      <w:szCs w:val="24"/>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customStyle="1" w:styleId="6">
    <w:name w:val="正文缩进2"/>
    <w:basedOn w:val="1"/>
    <w:qFormat/>
    <w:uiPriority w:val="0"/>
    <w:pPr>
      <w:spacing w:line="360" w:lineRule="auto"/>
      <w:ind w:firstLine="420"/>
      <w:jc w:val="left"/>
    </w:pPr>
    <w:rPr>
      <w:rFonts w:ascii="宋体" w:hAnsi="宋体"/>
      <w:kern w:val="0"/>
      <w:szCs w:val="24"/>
      <w:lang w:val="zh-CN"/>
    </w:rPr>
  </w:style>
  <w:style w:type="paragraph" w:styleId="7">
    <w:name w:val="table of figures"/>
    <w:basedOn w:val="1"/>
    <w:next w:val="1"/>
    <w:qFormat/>
    <w:uiPriority w:val="0"/>
    <w:pPr>
      <w:ind w:left="200" w:leftChars="200" w:hanging="200" w:hangingChars="200"/>
    </w:pPr>
  </w:style>
  <w:style w:type="paragraph" w:styleId="8">
    <w:name w:val="Normal (Web)"/>
    <w:basedOn w:val="1"/>
    <w:unhideWhenUsed/>
    <w:qFormat/>
    <w:uiPriority w:val="99"/>
    <w:pPr>
      <w:widowControl/>
      <w:spacing w:before="100" w:beforeAutospacing="1" w:after="100" w:afterAutospacing="1"/>
      <w:ind w:firstLine="200" w:firstLineChars="200"/>
      <w:jc w:val="left"/>
    </w:pPr>
    <w:rPr>
      <w:rFonts w:ascii="宋体" w:hAnsi="宋体" w:cs="宋体"/>
      <w:kern w:val="0"/>
      <w:szCs w:val="20"/>
    </w:rPr>
  </w:style>
  <w:style w:type="paragraph" w:customStyle="1" w:styleId="11">
    <w:name w:val="图片居中"/>
    <w:basedOn w:val="1"/>
    <w:qFormat/>
    <w:uiPriority w:val="0"/>
    <w:pPr>
      <w:spacing w:line="360" w:lineRule="auto"/>
      <w:jc w:val="center"/>
    </w:pPr>
    <w:rPr>
      <w:rFonts w:ascii="宋体" w:hAnsi="宋体" w:cs="宋体"/>
      <w:kern w:val="0"/>
      <w:szCs w:val="24"/>
    </w:rPr>
  </w:style>
  <w:style w:type="paragraph" w:customStyle="1" w:styleId="12">
    <w:name w:val="表格居中"/>
    <w:basedOn w:val="1"/>
    <w:qFormat/>
    <w:uiPriority w:val="0"/>
    <w:pPr>
      <w:spacing w:line="240" w:lineRule="auto"/>
      <w:jc w:val="center"/>
    </w:pPr>
    <w:rPr>
      <w:rFonts w:ascii="宋体" w:hAnsi="宋体"/>
      <w:kern w:val="0"/>
      <w:lang w:val="zh-CN"/>
    </w:rPr>
  </w:style>
  <w:style w:type="paragraph" w:customStyle="1" w:styleId="13">
    <w:name w:val="表格缩进2"/>
    <w:basedOn w:val="1"/>
    <w:qFormat/>
    <w:uiPriority w:val="0"/>
    <w:pPr>
      <w:spacing w:line="240" w:lineRule="auto"/>
      <w:jc w:val="left"/>
    </w:pPr>
    <w:rPr>
      <w:rFonts w:ascii="宋体" w:hAnsi="宋体" w:cs="宋体"/>
      <w:color w:val="000000"/>
      <w:kern w:val="0"/>
    </w:rPr>
  </w:style>
  <w:style w:type="paragraph" w:customStyle="1" w:styleId="14">
    <w:name w:val="表格文字"/>
    <w:basedOn w:val="1"/>
    <w:qFormat/>
    <w:uiPriority w:val="0"/>
    <w:pPr>
      <w:adjustRightInd w:val="0"/>
      <w:snapToGrid w:val="0"/>
      <w:spacing w:line="360" w:lineRule="auto"/>
      <w:jc w:val="center"/>
    </w:pPr>
    <w:rPr>
      <w:rFonts w:ascii="Times New Roman" w:hAnsi="Times New Roman" w:eastAsiaTheme="minorEastAsia"/>
      <w:szCs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emf"/><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8606</Words>
  <Characters>8683</Characters>
  <Lines>0</Lines>
  <Paragraphs>0</Paragraphs>
  <TotalTime>5</TotalTime>
  <ScaleCrop>false</ScaleCrop>
  <LinksUpToDate>false</LinksUpToDate>
  <CharactersWithSpaces>8686</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2022-06-01T02:31:00Z</dcterms:created>
  <dc:creator>Administrator</dc:creator>
  <cp:lastModifiedBy>Administrator</cp:lastModifiedBy>
  <dcterms:modified xsi:type="dcterms:W3CDTF">2022-06-02T06:47:21Z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21C8F0AE4C664D24914A3B51128B5FF5</vt:lpwstr>
  </property>
</Properties>
</file>