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rPr>
          <w:rFonts w:ascii="方正小标宋简体" w:hAnsi="方正小标宋简体" w:eastAsia="方正小标宋简体" w:cs="方正小标宋简体"/>
          <w:color w:val="000000" w:themeColor="text1"/>
          <w:sz w:val="44"/>
          <w:szCs w:val="52"/>
          <w:u w:val="none"/>
          <w:shd w:val="clear" w:color="auto" w:fill="auto"/>
          <w14:textFill>
            <w14:solidFill>
              <w14:schemeClr w14:val="tx1"/>
            </w14:solidFill>
          </w14:textFill>
        </w:rPr>
      </w:pPr>
      <w:bookmarkStart w:id="0" w:name="_GoBack"/>
      <w:bookmarkEnd w:id="0"/>
      <w:r>
        <w:rPr>
          <w:rFonts w:hint="eastAsia" w:ascii="方正小标宋简体" w:hAnsi="方正小标宋简体" w:eastAsia="方正小标宋简体" w:cs="方正小标宋简体"/>
          <w:color w:val="000000" w:themeColor="text1"/>
          <w:sz w:val="44"/>
          <w:szCs w:val="52"/>
          <w:u w:val="none"/>
          <w:shd w:val="clear" w:color="auto" w:fill="auto"/>
          <w14:textFill>
            <w14:solidFill>
              <w14:schemeClr w14:val="tx1"/>
            </w14:solidFill>
          </w14:textFill>
        </w:rPr>
        <w:t>天台县推进企业上市挂牌新政</w:t>
      </w:r>
      <w:r>
        <w:rPr>
          <w:rFonts w:hint="eastAsia" w:ascii="方正小标宋简体" w:hAnsi="方正小标宋简体" w:eastAsia="方正小标宋简体" w:cs="方正小标宋简体"/>
          <w:color w:val="000000" w:themeColor="text1"/>
          <w:sz w:val="44"/>
          <w:szCs w:val="52"/>
          <w:u w:val="none"/>
          <w:shd w:val="clear" w:color="auto" w:fill="auto"/>
          <w:lang w:val="en-US" w:eastAsia="zh-CN"/>
          <w14:textFill>
            <w14:solidFill>
              <w14:schemeClr w14:val="tx1"/>
            </w14:solidFill>
          </w14:textFill>
        </w:rPr>
        <w:t>15</w:t>
      </w:r>
      <w:r>
        <w:rPr>
          <w:rFonts w:hint="eastAsia" w:ascii="方正小标宋简体" w:hAnsi="方正小标宋简体" w:eastAsia="方正小标宋简体" w:cs="方正小标宋简体"/>
          <w:color w:val="000000" w:themeColor="text1"/>
          <w:sz w:val="44"/>
          <w:szCs w:val="52"/>
          <w:u w:val="none"/>
          <w:shd w:val="clear" w:color="auto" w:fill="auto"/>
          <w14:textFill>
            <w14:solidFill>
              <w14:schemeClr w14:val="tx1"/>
            </w14:solidFill>
          </w14:textFill>
        </w:rPr>
        <w:t>条</w:t>
      </w:r>
    </w:p>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rPr>
          <w:rFonts w:hint="eastAsia" w:ascii="仿宋_GB2312" w:eastAsia="仿宋_GB2312"/>
          <w:color w:val="000000" w:themeColor="text1"/>
          <w:sz w:val="32"/>
          <w:szCs w:val="32"/>
          <w:u w:val="none"/>
          <w:shd w:val="clear" w:color="auto" w:fill="auto"/>
          <w14:textFill>
            <w14:solidFill>
              <w14:schemeClr w14:val="tx1"/>
            </w14:solidFill>
          </w14:textFill>
        </w:rPr>
      </w:pPr>
      <w:r>
        <w:rPr>
          <w:rFonts w:hint="eastAsia" w:ascii="仿宋_GB2312" w:eastAsia="仿宋_GB2312"/>
          <w:color w:val="000000" w:themeColor="text1"/>
          <w:sz w:val="32"/>
          <w:szCs w:val="32"/>
          <w:u w:val="none"/>
          <w:shd w:val="clear" w:color="auto" w:fill="auto"/>
          <w14:textFill>
            <w14:solidFill>
              <w14:schemeClr w14:val="tx1"/>
            </w14:solidFill>
          </w14:textFill>
        </w:rPr>
        <w:t>（</w:t>
      </w:r>
      <w:r>
        <w:rPr>
          <w:rFonts w:hint="eastAsia" w:ascii="仿宋_GB2312" w:eastAsia="仿宋_GB2312"/>
          <w:color w:val="000000" w:themeColor="text1"/>
          <w:sz w:val="32"/>
          <w:szCs w:val="32"/>
          <w:u w:val="none"/>
          <w:shd w:val="clear" w:color="auto" w:fill="auto"/>
          <w:lang w:val="en-US" w:eastAsia="zh-CN"/>
          <w14:textFill>
            <w14:solidFill>
              <w14:schemeClr w14:val="tx1"/>
            </w14:solidFill>
          </w14:textFill>
        </w:rPr>
        <w:t>征求意见</w:t>
      </w:r>
      <w:r>
        <w:rPr>
          <w:rFonts w:hint="eastAsia" w:ascii="仿宋_GB2312" w:eastAsia="仿宋_GB2312"/>
          <w:color w:val="000000" w:themeColor="text1"/>
          <w:sz w:val="32"/>
          <w:szCs w:val="32"/>
          <w:u w:val="none"/>
          <w:shd w:val="clear" w:color="auto" w:fill="auto"/>
          <w14:textFill>
            <w14:solidFill>
              <w14:schemeClr w14:val="tx1"/>
            </w14:solidFill>
          </w14:textFill>
        </w:rPr>
        <w:t>稿）</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color w:val="000000" w:themeColor="text1"/>
          <w:sz w:val="32"/>
          <w:szCs w:val="40"/>
          <w:u w:val="none"/>
          <w:shd w:val="clear" w:color="auto" w:fill="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color w:val="000000" w:themeColor="text1"/>
          <w:sz w:val="32"/>
          <w:szCs w:val="40"/>
          <w:u w:val="none"/>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40"/>
          <w:u w:val="none"/>
          <w:shd w:val="clear" w:color="auto" w:fill="auto"/>
          <w14:textFill>
            <w14:solidFill>
              <w14:schemeClr w14:val="tx1"/>
            </w14:solidFill>
          </w14:textFill>
        </w:rPr>
        <w:t>为进一步贯彻落实县委、县政府“上市优先”发展战略，支持企业抢抓全面实行注册制改革机遇，加快上市挂牌步伐，确保完成“十四五”期间上市企业数翻番目标，不断壮大资本市场“天台板块”，推动裂变跨越发展，为建设现代化和合之城，打造共同富裕示范区标杆县提供有力支撑，</w:t>
      </w:r>
      <w:r>
        <w:rPr>
          <w:rFonts w:hint="eastAsia" w:ascii="仿宋_GB2312" w:hAnsi="仿宋_GB2312" w:eastAsia="仿宋_GB2312" w:cs="仿宋_GB2312"/>
          <w:color w:val="000000" w:themeColor="text1"/>
          <w:sz w:val="32"/>
          <w:szCs w:val="40"/>
          <w:u w:val="none"/>
          <w:shd w:val="clear" w:color="auto" w:fill="auto"/>
          <w:lang w:eastAsia="zh-CN"/>
          <w14:textFill>
            <w14:solidFill>
              <w14:schemeClr w14:val="tx1"/>
            </w14:solidFill>
          </w14:textFill>
        </w:rPr>
        <w:t>根据台州市</w:t>
      </w:r>
      <w:r>
        <w:rPr>
          <w:rFonts w:hint="eastAsia" w:ascii="仿宋_GB2312" w:hAnsi="仿宋_GB2312" w:eastAsia="仿宋_GB2312" w:cs="仿宋_GB2312"/>
          <w:color w:val="000000" w:themeColor="text1"/>
          <w:sz w:val="32"/>
          <w:szCs w:val="40"/>
          <w:u w:val="none"/>
          <w:shd w:val="clear" w:color="auto" w:fill="auto"/>
          <w14:textFill>
            <w14:solidFill>
              <w14:schemeClr w14:val="tx1"/>
            </w14:solidFill>
          </w14:textFill>
        </w:rPr>
        <w:t>《支持企业上市挂牌和高质量发展20条（2023年修订）》</w:t>
      </w:r>
      <w:r>
        <w:rPr>
          <w:rFonts w:hint="eastAsia" w:ascii="仿宋_GB2312" w:hAnsi="仿宋_GB2312" w:eastAsia="仿宋_GB2312" w:cs="仿宋_GB2312"/>
          <w:color w:val="000000" w:themeColor="text1"/>
          <w:sz w:val="32"/>
          <w:szCs w:val="40"/>
          <w:u w:val="none"/>
          <w:shd w:val="clear" w:color="auto" w:fill="auto"/>
          <w:lang w:eastAsia="zh-CN"/>
          <w14:textFill>
            <w14:solidFill>
              <w14:schemeClr w14:val="tx1"/>
            </w14:solidFill>
          </w14:textFill>
        </w:rPr>
        <w:t>等相关文件，</w:t>
      </w:r>
      <w:r>
        <w:rPr>
          <w:rFonts w:hint="eastAsia" w:ascii="仿宋_GB2312" w:hAnsi="仿宋_GB2312" w:eastAsia="仿宋_GB2312" w:cs="仿宋_GB2312"/>
          <w:color w:val="000000" w:themeColor="text1"/>
          <w:sz w:val="32"/>
          <w:szCs w:val="40"/>
          <w:u w:val="none"/>
          <w:shd w:val="clear" w:color="auto" w:fill="auto"/>
          <w14:textFill>
            <w14:solidFill>
              <w14:schemeClr w14:val="tx1"/>
            </w14:solidFill>
          </w14:textFill>
        </w:rPr>
        <w:t>特制订本政策。</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trike w:val="0"/>
          <w:dstrike w:val="0"/>
          <w:color w:val="000000" w:themeColor="text1"/>
          <w:sz w:val="32"/>
          <w:szCs w:val="40"/>
          <w:highlight w:val="none"/>
          <w:u w:val="none"/>
          <w:shd w:val="clear" w:color="auto" w:fill="auto"/>
          <w:lang w:val="en-US" w:eastAsia="zh-CN"/>
          <w14:textFill>
            <w14:solidFill>
              <w14:schemeClr w14:val="tx1"/>
            </w14:solidFill>
          </w14:textFill>
        </w:rPr>
      </w:pPr>
      <w:r>
        <w:rPr>
          <w:rFonts w:hint="eastAsia" w:ascii="黑体" w:hAnsi="黑体" w:eastAsia="黑体" w:cs="黑体"/>
          <w:color w:val="000000" w:themeColor="text1"/>
          <w:sz w:val="32"/>
          <w:szCs w:val="40"/>
          <w:u w:val="none"/>
          <w:shd w:val="clear" w:color="auto" w:fill="auto"/>
          <w14:textFill>
            <w14:solidFill>
              <w14:schemeClr w14:val="tx1"/>
            </w14:solidFill>
          </w14:textFill>
        </w:rPr>
        <w:t>一、加强股改扶持，夯实上市基础</w:t>
      </w:r>
    </w:p>
    <w:p>
      <w:pPr>
        <w:keepNext w:val="0"/>
        <w:keepLines w:val="0"/>
        <w:pageBreakBefore w:val="0"/>
        <w:widowControl w:val="0"/>
        <w:tabs>
          <w:tab w:val="left" w:pos="911"/>
        </w:tabs>
        <w:kinsoku/>
        <w:wordWrap/>
        <w:overflowPunct/>
        <w:topLinePunct w:val="0"/>
        <w:autoSpaceDE/>
        <w:autoSpaceDN/>
        <w:bidi w:val="0"/>
        <w:adjustRightInd/>
        <w:snapToGrid/>
        <w:spacing w:line="520" w:lineRule="exact"/>
        <w:jc w:val="both"/>
        <w:textAlignment w:val="auto"/>
        <w:rPr>
          <w:rFonts w:hint="default" w:ascii="仿宋_GB2312" w:hAnsi="仿宋_GB2312" w:eastAsia="仿宋_GB2312" w:cs="仿宋_GB2312"/>
          <w:color w:val="000000" w:themeColor="text1"/>
          <w:sz w:val="32"/>
          <w:szCs w:val="40"/>
          <w:highlight w:val="none"/>
          <w:u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40"/>
          <w:u w:val="none"/>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strike w:val="0"/>
          <w:dstrike w:val="0"/>
          <w:color w:val="000000" w:themeColor="text1"/>
          <w:sz w:val="32"/>
          <w:szCs w:val="40"/>
          <w:highlight w:val="none"/>
          <w:u w:val="none"/>
          <w:shd w:val="clear" w:color="auto" w:fill="auto"/>
          <w14:textFill>
            <w14:solidFill>
              <w14:schemeClr w14:val="tx1"/>
            </w14:solidFill>
          </w14:textFill>
        </w:rPr>
        <w:t>（</w:t>
      </w:r>
      <w:r>
        <w:rPr>
          <w:rFonts w:hint="eastAsia" w:ascii="仿宋_GB2312" w:hAnsi="仿宋_GB2312" w:eastAsia="仿宋_GB2312" w:cs="仿宋_GB2312"/>
          <w:strike w:val="0"/>
          <w:dstrike w:val="0"/>
          <w:color w:val="000000" w:themeColor="text1"/>
          <w:sz w:val="32"/>
          <w:szCs w:val="40"/>
          <w:highlight w:val="none"/>
          <w:u w:val="none"/>
          <w:shd w:val="clear" w:color="auto" w:fill="auto"/>
          <w:lang w:eastAsia="zh-CN"/>
          <w14:textFill>
            <w14:solidFill>
              <w14:schemeClr w14:val="tx1"/>
            </w14:solidFill>
          </w14:textFill>
        </w:rPr>
        <w:t>一</w:t>
      </w:r>
      <w:r>
        <w:rPr>
          <w:rFonts w:hint="eastAsia" w:ascii="仿宋_GB2312" w:hAnsi="仿宋_GB2312" w:eastAsia="仿宋_GB2312" w:cs="仿宋_GB2312"/>
          <w:strike w:val="0"/>
          <w:dstrike w:val="0"/>
          <w:color w:val="000000" w:themeColor="text1"/>
          <w:sz w:val="32"/>
          <w:szCs w:val="40"/>
          <w:highlight w:val="none"/>
          <w:u w:val="none"/>
          <w:shd w:val="clear" w:color="auto" w:fill="auto"/>
          <w14:textFill>
            <w14:solidFill>
              <w14:schemeClr w14:val="tx1"/>
            </w14:solidFill>
          </w14:textFill>
        </w:rPr>
        <w:t>）</w:t>
      </w:r>
      <w:r>
        <w:rPr>
          <w:rFonts w:hint="eastAsia" w:ascii="仿宋_GB2312" w:hAnsi="仿宋_GB2312" w:eastAsia="仿宋_GB2312" w:cs="仿宋_GB2312"/>
          <w:strike w:val="0"/>
          <w:dstrike w:val="0"/>
          <w:color w:val="000000" w:themeColor="text1"/>
          <w:sz w:val="32"/>
          <w:szCs w:val="40"/>
          <w:highlight w:val="none"/>
          <w:u w:val="none"/>
          <w:shd w:val="clear" w:color="auto" w:fill="auto"/>
          <w:lang w:eastAsia="zh-CN"/>
          <w14:textFill>
            <w14:solidFill>
              <w14:schemeClr w14:val="tx1"/>
            </w14:solidFill>
          </w14:textFill>
        </w:rPr>
        <w:t>对经认定的拟上市企业完成上市股改</w:t>
      </w:r>
      <w:r>
        <w:rPr>
          <w:rFonts w:hint="eastAsia" w:ascii="仿宋_GB2312" w:eastAsia="仿宋_GB2312"/>
          <w:color w:val="000000" w:themeColor="text1"/>
          <w:sz w:val="32"/>
          <w:szCs w:val="32"/>
          <w:shd w:val="clear" w:color="auto" w:fill="auto"/>
          <w:lang w:eastAsia="zh-CN"/>
          <w14:textFill>
            <w14:solidFill>
              <w14:schemeClr w14:val="tx1"/>
            </w14:solidFill>
          </w14:textFill>
        </w:rPr>
        <w:t>，</w:t>
      </w:r>
      <w:r>
        <w:rPr>
          <w:rFonts w:hint="eastAsia" w:ascii="仿宋_GB2312" w:hAnsi="仿宋_GB2312" w:eastAsia="仿宋_GB2312" w:cs="仿宋_GB2312"/>
          <w:strike w:val="0"/>
          <w:dstrike w:val="0"/>
          <w:color w:val="000000" w:themeColor="text1"/>
          <w:sz w:val="32"/>
          <w:szCs w:val="40"/>
          <w:highlight w:val="none"/>
          <w:u w:val="none"/>
          <w:shd w:val="clear" w:color="auto" w:fill="auto"/>
          <w14:textFill>
            <w14:solidFill>
              <w14:schemeClr w14:val="tx1"/>
            </w14:solidFill>
          </w14:textFill>
        </w:rPr>
        <w:t>以未分配利润、盈余公积和除股票溢价发行外的其他资本公积转增股本，</w:t>
      </w:r>
      <w:r>
        <w:rPr>
          <w:rFonts w:hint="eastAsia" w:ascii="仿宋_GB2312" w:hAnsi="仿宋_GB2312" w:eastAsia="仿宋_GB2312" w:cs="仿宋_GB2312"/>
          <w:color w:val="000000" w:themeColor="text1"/>
          <w:sz w:val="32"/>
          <w:szCs w:val="40"/>
          <w:highlight w:val="none"/>
          <w:u w:val="none"/>
          <w:shd w:val="clear" w:color="auto" w:fill="auto"/>
          <w:lang w:val="en-US" w:eastAsia="zh-CN"/>
          <w14:textFill>
            <w14:solidFill>
              <w14:schemeClr w14:val="tx1"/>
            </w14:solidFill>
          </w14:textFill>
        </w:rPr>
        <w:t>补助最高</w:t>
      </w:r>
      <w:r>
        <w:rPr>
          <w:rFonts w:hint="eastAsia" w:ascii="仿宋_GB2312" w:hAnsi="仿宋_GB2312" w:eastAsia="仿宋_GB2312" w:cs="仿宋_GB2312"/>
          <w:color w:val="000000" w:themeColor="text1"/>
          <w:sz w:val="32"/>
          <w:szCs w:val="40"/>
          <w:highlight w:val="none"/>
          <w:u w:val="none"/>
          <w:shd w:val="clear" w:color="auto" w:fill="auto"/>
          <w14:textFill>
            <w14:solidFill>
              <w14:schemeClr w14:val="tx1"/>
            </w14:solidFill>
          </w14:textFill>
        </w:rPr>
        <w:t>不超过转增</w:t>
      </w:r>
      <w:r>
        <w:rPr>
          <w:rFonts w:hint="eastAsia" w:ascii="仿宋_GB2312" w:hAnsi="仿宋_GB2312" w:eastAsia="仿宋_GB2312" w:cs="仿宋_GB2312"/>
          <w:color w:val="000000" w:themeColor="text1"/>
          <w:sz w:val="32"/>
          <w:szCs w:val="40"/>
          <w:highlight w:val="none"/>
          <w:u w:val="none"/>
          <w:shd w:val="clear" w:color="auto" w:fill="auto"/>
          <w:lang w:eastAsia="zh-CN"/>
          <w14:textFill>
            <w14:solidFill>
              <w14:schemeClr w14:val="tx1"/>
            </w14:solidFill>
          </w14:textFill>
        </w:rPr>
        <w:t>股本</w:t>
      </w:r>
      <w:r>
        <w:rPr>
          <w:rFonts w:hint="eastAsia" w:ascii="仿宋_GB2312" w:hAnsi="仿宋_GB2312" w:eastAsia="仿宋_GB2312" w:cs="仿宋_GB2312"/>
          <w:color w:val="000000" w:themeColor="text1"/>
          <w:sz w:val="32"/>
          <w:szCs w:val="40"/>
          <w:highlight w:val="none"/>
          <w:u w:val="none"/>
          <w:shd w:val="clear" w:color="auto" w:fill="auto"/>
          <w14:textFill>
            <w14:solidFill>
              <w14:schemeClr w14:val="tx1"/>
            </w14:solidFill>
          </w14:textFill>
        </w:rPr>
        <w:t>额中属于自然人股东部分的6.4%</w:t>
      </w:r>
      <w:r>
        <w:rPr>
          <w:rFonts w:hint="eastAsia" w:ascii="仿宋_GB2312" w:hAnsi="仿宋_GB2312" w:eastAsia="仿宋_GB2312" w:cs="仿宋_GB2312"/>
          <w:color w:val="000000" w:themeColor="text1"/>
          <w:sz w:val="32"/>
          <w:szCs w:val="40"/>
          <w:highlight w:val="none"/>
          <w:u w:val="none"/>
          <w:shd w:val="clear" w:color="auto" w:fill="auto"/>
          <w:lang w:eastAsia="zh-CN"/>
          <w14:textFill>
            <w14:solidFill>
              <w14:schemeClr w14:val="tx1"/>
            </w14:solidFill>
          </w14:textFill>
        </w:rPr>
        <w:t>，在报辅导备案后予以执行。</w:t>
      </w:r>
    </w:p>
    <w:p>
      <w:pPr>
        <w:keepNext w:val="0"/>
        <w:keepLines w:val="0"/>
        <w:pageBreakBefore w:val="0"/>
        <w:widowControl w:val="0"/>
        <w:tabs>
          <w:tab w:val="left" w:pos="911"/>
        </w:tabs>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000000" w:themeColor="text1"/>
          <w:sz w:val="32"/>
          <w:szCs w:val="40"/>
          <w:highlight w:val="none"/>
          <w:u w:val="none"/>
          <w:shd w:val="clear" w:color="auto" w:fill="auto"/>
          <w:lang w:eastAsia="zh-CN"/>
          <w14:textFill>
            <w14:solidFill>
              <w14:schemeClr w14:val="tx1"/>
            </w14:solidFill>
          </w14:textFill>
        </w:rPr>
      </w:pPr>
      <w:r>
        <w:rPr>
          <w:rFonts w:hint="eastAsia" w:ascii="仿宋_GB2312" w:hAnsi="仿宋_GB2312" w:eastAsia="仿宋_GB2312" w:cs="仿宋_GB2312"/>
          <w:strike w:val="0"/>
          <w:dstrike w:val="0"/>
          <w:color w:val="000000" w:themeColor="text1"/>
          <w:sz w:val="32"/>
          <w:szCs w:val="40"/>
          <w:highlight w:val="none"/>
          <w:u w:val="none"/>
          <w:shd w:val="clear" w:color="auto" w:fill="auto"/>
          <w14:textFill>
            <w14:solidFill>
              <w14:schemeClr w14:val="tx1"/>
            </w14:solidFill>
          </w14:textFill>
        </w:rPr>
        <w:t>（</w:t>
      </w:r>
      <w:r>
        <w:rPr>
          <w:rFonts w:hint="eastAsia" w:ascii="仿宋_GB2312" w:hAnsi="仿宋_GB2312" w:eastAsia="仿宋_GB2312" w:cs="仿宋_GB2312"/>
          <w:strike w:val="0"/>
          <w:dstrike w:val="0"/>
          <w:color w:val="000000" w:themeColor="text1"/>
          <w:sz w:val="32"/>
          <w:szCs w:val="40"/>
          <w:highlight w:val="none"/>
          <w:u w:val="none"/>
          <w:shd w:val="clear" w:color="auto" w:fill="auto"/>
          <w:lang w:eastAsia="zh-CN"/>
          <w14:textFill>
            <w14:solidFill>
              <w14:schemeClr w14:val="tx1"/>
            </w14:solidFill>
          </w14:textFill>
        </w:rPr>
        <w:t>二</w:t>
      </w:r>
      <w:r>
        <w:rPr>
          <w:rFonts w:hint="eastAsia" w:ascii="仿宋_GB2312" w:hAnsi="仿宋_GB2312" w:eastAsia="仿宋_GB2312" w:cs="仿宋_GB2312"/>
          <w:strike w:val="0"/>
          <w:dstrike w:val="0"/>
          <w:color w:val="000000" w:themeColor="text1"/>
          <w:sz w:val="32"/>
          <w:szCs w:val="40"/>
          <w:highlight w:val="none"/>
          <w:u w:val="none"/>
          <w:shd w:val="clear" w:color="auto" w:fill="auto"/>
          <w14:textFill>
            <w14:solidFill>
              <w14:schemeClr w14:val="tx1"/>
            </w14:solidFill>
          </w14:textFill>
        </w:rPr>
        <w:t>）</w:t>
      </w:r>
      <w:r>
        <w:rPr>
          <w:rFonts w:hint="eastAsia" w:ascii="仿宋_GB2312" w:hAnsi="仿宋_GB2312" w:eastAsia="仿宋_GB2312" w:cs="仿宋_GB2312"/>
          <w:strike w:val="0"/>
          <w:dstrike w:val="0"/>
          <w:color w:val="000000" w:themeColor="text1"/>
          <w:sz w:val="32"/>
          <w:szCs w:val="40"/>
          <w:highlight w:val="none"/>
          <w:u w:val="none"/>
          <w:shd w:val="clear" w:color="auto" w:fill="auto"/>
          <w:lang w:eastAsia="zh-CN"/>
          <w14:textFill>
            <w14:solidFill>
              <w14:schemeClr w14:val="tx1"/>
            </w14:solidFill>
          </w14:textFill>
        </w:rPr>
        <w:t>对经认定的拟上市企业完成上市股改</w:t>
      </w:r>
      <w:r>
        <w:rPr>
          <w:rFonts w:hint="eastAsia" w:ascii="仿宋_GB2312" w:eastAsia="仿宋_GB2312"/>
          <w:color w:val="000000" w:themeColor="text1"/>
          <w:sz w:val="32"/>
          <w:szCs w:val="32"/>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40"/>
          <w:highlight w:val="none"/>
          <w:u w:val="none"/>
          <w:shd w:val="clear" w:color="auto" w:fill="auto"/>
          <w14:textFill>
            <w14:solidFill>
              <w14:schemeClr w14:val="tx1"/>
            </w14:solidFill>
          </w14:textFill>
        </w:rPr>
        <w:t>在实际控制人不发生变化</w:t>
      </w:r>
      <w:r>
        <w:rPr>
          <w:rFonts w:hint="eastAsia" w:ascii="仿宋_GB2312" w:hAnsi="仿宋_GB2312" w:eastAsia="仿宋_GB2312" w:cs="仿宋_GB2312"/>
          <w:color w:val="000000" w:themeColor="text1"/>
          <w:sz w:val="32"/>
          <w:szCs w:val="40"/>
          <w:highlight w:val="none"/>
          <w:u w:val="none"/>
          <w:shd w:val="clear" w:color="auto" w:fill="auto"/>
          <w:lang w:eastAsia="zh-CN"/>
          <w14:textFill>
            <w14:solidFill>
              <w14:schemeClr w14:val="tx1"/>
            </w14:solidFill>
          </w14:textFill>
        </w:rPr>
        <w:t>的</w:t>
      </w:r>
      <w:r>
        <w:rPr>
          <w:rFonts w:hint="eastAsia" w:ascii="仿宋_GB2312" w:hAnsi="仿宋_GB2312" w:eastAsia="仿宋_GB2312" w:cs="仿宋_GB2312"/>
          <w:color w:val="000000" w:themeColor="text1"/>
          <w:sz w:val="32"/>
          <w:szCs w:val="40"/>
          <w:highlight w:val="none"/>
          <w:u w:val="none"/>
          <w:shd w:val="clear" w:color="auto" w:fill="auto"/>
          <w14:textFill>
            <w14:solidFill>
              <w14:schemeClr w14:val="tx1"/>
            </w14:solidFill>
          </w14:textFill>
        </w:rPr>
        <w:t>情况下，涉及土地、房产、车船等资产转让</w:t>
      </w:r>
      <w:r>
        <w:rPr>
          <w:rFonts w:hint="eastAsia" w:ascii="仿宋_GB2312" w:hAnsi="仿宋_GB2312" w:eastAsia="仿宋_GB2312" w:cs="仿宋_GB2312"/>
          <w:color w:val="000000" w:themeColor="text1"/>
          <w:sz w:val="32"/>
          <w:szCs w:val="40"/>
          <w:highlight w:val="none"/>
          <w:u w:val="none"/>
          <w:shd w:val="clear" w:color="auto" w:fill="auto"/>
          <w:lang w:eastAsia="zh-CN"/>
          <w14:textFill>
            <w14:solidFill>
              <w14:schemeClr w14:val="tx1"/>
            </w14:solidFill>
          </w14:textFill>
        </w:rPr>
        <w:t>和重组</w:t>
      </w:r>
      <w:r>
        <w:rPr>
          <w:rFonts w:hint="eastAsia" w:ascii="仿宋_GB2312" w:hAnsi="仿宋_GB2312" w:eastAsia="仿宋_GB2312" w:cs="仿宋_GB2312"/>
          <w:color w:val="000000" w:themeColor="text1"/>
          <w:sz w:val="32"/>
          <w:szCs w:val="40"/>
          <w:highlight w:val="none"/>
          <w:u w:val="none"/>
          <w:shd w:val="clear" w:color="auto" w:fill="auto"/>
          <w14:textFill>
            <w14:solidFill>
              <w14:schemeClr w14:val="tx1"/>
            </w14:solidFill>
          </w14:textFill>
        </w:rPr>
        <w:t>，</w:t>
      </w:r>
      <w:r>
        <w:rPr>
          <w:rFonts w:hint="eastAsia" w:ascii="仿宋_GB2312" w:hAnsi="仿宋_GB2312" w:eastAsia="仿宋_GB2312" w:cs="仿宋_GB2312"/>
          <w:color w:val="000000" w:themeColor="text1"/>
          <w:sz w:val="32"/>
          <w:szCs w:val="40"/>
          <w:highlight w:val="none"/>
          <w:u w:val="none"/>
          <w:shd w:val="clear" w:color="auto" w:fill="auto"/>
          <w:lang w:eastAsia="zh-CN"/>
          <w14:textFill>
            <w14:solidFill>
              <w14:schemeClr w14:val="tx1"/>
            </w14:solidFill>
          </w14:textFill>
        </w:rPr>
        <w:t>补助</w:t>
      </w:r>
      <w:r>
        <w:rPr>
          <w:rFonts w:hint="eastAsia" w:ascii="仿宋_GB2312" w:hAnsi="仿宋_GB2312" w:eastAsia="仿宋_GB2312" w:cs="仿宋_GB2312"/>
          <w:color w:val="000000" w:themeColor="text1"/>
          <w:sz w:val="32"/>
          <w:szCs w:val="40"/>
          <w:highlight w:val="none"/>
          <w:u w:val="none"/>
          <w:shd w:val="clear" w:color="auto" w:fill="auto"/>
          <w:lang w:val="en-US" w:eastAsia="zh-CN"/>
          <w14:textFill>
            <w14:solidFill>
              <w14:schemeClr w14:val="tx1"/>
            </w14:solidFill>
          </w14:textFill>
        </w:rPr>
        <w:t>最高</w:t>
      </w:r>
      <w:r>
        <w:rPr>
          <w:rFonts w:hint="eastAsia" w:ascii="仿宋_GB2312" w:hAnsi="仿宋_GB2312" w:eastAsia="仿宋_GB2312" w:cs="仿宋_GB2312"/>
          <w:color w:val="000000" w:themeColor="text1"/>
          <w:sz w:val="32"/>
          <w:szCs w:val="40"/>
          <w:u w:val="none"/>
          <w:shd w:val="clear" w:color="auto" w:fill="auto"/>
          <w14:textFill>
            <w14:solidFill>
              <w14:schemeClr w14:val="tx1"/>
            </w14:solidFill>
          </w14:textFill>
        </w:rPr>
        <w:t>不超过资产重组额的5%</w:t>
      </w:r>
      <w:r>
        <w:rPr>
          <w:rFonts w:hint="eastAsia" w:ascii="仿宋_GB2312" w:hAnsi="仿宋_GB2312" w:eastAsia="仿宋_GB2312" w:cs="仿宋_GB2312"/>
          <w:color w:val="000000" w:themeColor="text1"/>
          <w:sz w:val="32"/>
          <w:szCs w:val="40"/>
          <w:u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40"/>
          <w:highlight w:val="none"/>
          <w:u w:val="none"/>
          <w:shd w:val="clear" w:color="auto" w:fill="auto"/>
          <w:lang w:eastAsia="zh-CN"/>
          <w14:textFill>
            <w14:solidFill>
              <w14:schemeClr w14:val="tx1"/>
            </w14:solidFill>
          </w14:textFill>
        </w:rPr>
        <w:t>在报辅导备案后予以执行。</w:t>
      </w:r>
    </w:p>
    <w:p>
      <w:pPr>
        <w:keepNext w:val="0"/>
        <w:keepLines w:val="0"/>
        <w:pageBreakBefore w:val="0"/>
        <w:widowControl w:val="0"/>
        <w:tabs>
          <w:tab w:val="left" w:pos="911"/>
        </w:tabs>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trike w:val="0"/>
          <w:dstrike w:val="0"/>
          <w:color w:val="000000" w:themeColor="text1"/>
          <w:sz w:val="32"/>
          <w:szCs w:val="40"/>
          <w:highlight w:val="none"/>
          <w:u w:val="none"/>
          <w:shd w:val="clear" w:color="auto" w:fill="auto"/>
          <w:lang w:val="en-US" w:eastAsia="zh-CN"/>
          <w14:textFill>
            <w14:solidFill>
              <w14:schemeClr w14:val="tx1"/>
            </w14:solidFill>
          </w14:textFill>
        </w:rPr>
      </w:pPr>
      <w:r>
        <w:rPr>
          <w:rFonts w:hint="eastAsia" w:ascii="仿宋_GB2312" w:hAnsi="仿宋_GB2312" w:eastAsia="仿宋_GB2312" w:cs="仿宋_GB2312"/>
          <w:strike w:val="0"/>
          <w:dstrike w:val="0"/>
          <w:color w:val="000000" w:themeColor="text1"/>
          <w:sz w:val="32"/>
          <w:szCs w:val="40"/>
          <w:highlight w:val="none"/>
          <w:u w:val="none"/>
          <w:shd w:val="clear" w:color="auto" w:fill="auto"/>
          <w14:textFill>
            <w14:solidFill>
              <w14:schemeClr w14:val="tx1"/>
            </w14:solidFill>
          </w14:textFill>
        </w:rPr>
        <w:t xml:space="preserve"> （</w:t>
      </w:r>
      <w:r>
        <w:rPr>
          <w:rFonts w:hint="eastAsia" w:ascii="仿宋_GB2312" w:hAnsi="仿宋_GB2312" w:eastAsia="仿宋_GB2312" w:cs="仿宋_GB2312"/>
          <w:strike w:val="0"/>
          <w:dstrike w:val="0"/>
          <w:color w:val="000000" w:themeColor="text1"/>
          <w:sz w:val="32"/>
          <w:szCs w:val="40"/>
          <w:highlight w:val="none"/>
          <w:u w:val="none"/>
          <w:shd w:val="clear" w:color="auto" w:fill="auto"/>
          <w:lang w:eastAsia="zh-CN"/>
          <w14:textFill>
            <w14:solidFill>
              <w14:schemeClr w14:val="tx1"/>
            </w14:solidFill>
          </w14:textFill>
        </w:rPr>
        <w:t>三</w:t>
      </w:r>
      <w:r>
        <w:rPr>
          <w:rFonts w:hint="eastAsia" w:ascii="仿宋_GB2312" w:hAnsi="仿宋_GB2312" w:eastAsia="仿宋_GB2312" w:cs="仿宋_GB2312"/>
          <w:strike w:val="0"/>
          <w:dstrike w:val="0"/>
          <w:color w:val="000000" w:themeColor="text1"/>
          <w:sz w:val="32"/>
          <w:szCs w:val="40"/>
          <w:highlight w:val="none"/>
          <w:u w:val="none"/>
          <w:shd w:val="clear" w:color="auto" w:fill="auto"/>
          <w14:textFill>
            <w14:solidFill>
              <w14:schemeClr w14:val="tx1"/>
            </w14:solidFill>
          </w14:textFill>
        </w:rPr>
        <w:t>）</w:t>
      </w:r>
      <w:r>
        <w:rPr>
          <w:rFonts w:hint="eastAsia" w:ascii="仿宋_GB2312" w:hAnsi="仿宋_GB2312" w:eastAsia="仿宋_GB2312" w:cs="仿宋_GB2312"/>
          <w:strike w:val="0"/>
          <w:dstrike w:val="0"/>
          <w:color w:val="000000" w:themeColor="text1"/>
          <w:sz w:val="32"/>
          <w:szCs w:val="40"/>
          <w:highlight w:val="none"/>
          <w:u w:val="none"/>
          <w:shd w:val="clear" w:color="auto" w:fill="auto"/>
          <w:lang w:eastAsia="zh-CN"/>
          <w14:textFill>
            <w14:solidFill>
              <w14:schemeClr w14:val="tx1"/>
            </w14:solidFill>
          </w14:textFill>
        </w:rPr>
        <w:t>对经认定的拟上市企业完成上市股改</w:t>
      </w:r>
      <w:r>
        <w:rPr>
          <w:rFonts w:hint="eastAsia" w:ascii="仿宋_GB2312" w:hAnsi="仿宋_GB2312" w:eastAsia="仿宋_GB2312" w:cs="仿宋_GB2312"/>
          <w:strike w:val="0"/>
          <w:dstrike w:val="0"/>
          <w:color w:val="000000" w:themeColor="text1"/>
          <w:sz w:val="32"/>
          <w:szCs w:val="40"/>
          <w:highlight w:val="none"/>
          <w:u w:val="none"/>
          <w:shd w:val="clear" w:color="auto" w:fill="auto"/>
          <w14:textFill>
            <w14:solidFill>
              <w14:schemeClr w14:val="tx1"/>
            </w14:solidFill>
          </w14:textFill>
        </w:rPr>
        <w:t>，</w:t>
      </w:r>
      <w:r>
        <w:rPr>
          <w:rFonts w:hint="eastAsia" w:ascii="仿宋_GB2312" w:hAnsi="仿宋_GB2312" w:eastAsia="仿宋_GB2312" w:cs="仿宋_GB2312"/>
          <w:strike w:val="0"/>
          <w:dstrike w:val="0"/>
          <w:color w:val="000000" w:themeColor="text1"/>
          <w:sz w:val="32"/>
          <w:szCs w:val="40"/>
          <w:highlight w:val="none"/>
          <w:u w:val="none"/>
          <w:shd w:val="clear" w:color="auto" w:fill="auto"/>
          <w:lang w:eastAsia="zh-CN"/>
          <w14:textFill>
            <w14:solidFill>
              <w14:schemeClr w14:val="tx1"/>
            </w14:solidFill>
          </w14:textFill>
        </w:rPr>
        <w:t>支付给中介机构费用按实补助，总额不超过</w:t>
      </w:r>
      <w:r>
        <w:rPr>
          <w:rFonts w:hint="eastAsia" w:ascii="仿宋_GB2312" w:hAnsi="仿宋_GB2312" w:eastAsia="仿宋_GB2312" w:cs="仿宋_GB2312"/>
          <w:strike w:val="0"/>
          <w:dstrike w:val="0"/>
          <w:color w:val="000000" w:themeColor="text1"/>
          <w:sz w:val="32"/>
          <w:szCs w:val="40"/>
          <w:highlight w:val="none"/>
          <w:u w:val="none"/>
          <w:shd w:val="clear" w:color="auto" w:fill="auto"/>
          <w:lang w:val="en-US" w:eastAsia="zh-CN"/>
          <w14:textFill>
            <w14:solidFill>
              <w14:schemeClr w14:val="tx1"/>
            </w14:solidFill>
          </w14:textFill>
        </w:rPr>
        <w:t>100万元。</w:t>
      </w:r>
    </w:p>
    <w:p>
      <w:pPr>
        <w:keepNext w:val="0"/>
        <w:keepLines w:val="0"/>
        <w:pageBreakBefore w:val="0"/>
        <w:widowControl w:val="0"/>
        <w:tabs>
          <w:tab w:val="left" w:pos="911"/>
        </w:tabs>
        <w:kinsoku/>
        <w:wordWrap/>
        <w:overflowPunct/>
        <w:topLinePunct w:val="0"/>
        <w:autoSpaceDE/>
        <w:autoSpaceDN/>
        <w:bidi w:val="0"/>
        <w:adjustRightInd/>
        <w:snapToGrid/>
        <w:spacing w:line="520" w:lineRule="exact"/>
        <w:ind w:left="0" w:leftChars="0" w:firstLine="640" w:firstLineChars="200"/>
        <w:jc w:val="both"/>
        <w:textAlignment w:val="auto"/>
        <w:rPr>
          <w:rFonts w:ascii="黑体" w:hAnsi="黑体" w:eastAsia="黑体" w:cs="黑体"/>
          <w:color w:val="000000" w:themeColor="text1"/>
          <w:sz w:val="32"/>
          <w:szCs w:val="40"/>
          <w:u w:val="none"/>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40"/>
          <w:highlight w:val="none"/>
          <w:u w:val="none"/>
          <w:shd w:val="clear" w:color="auto" w:fill="auto"/>
          <w14:textFill>
            <w14:solidFill>
              <w14:schemeClr w14:val="tx1"/>
            </w14:solidFill>
          </w14:textFill>
        </w:rPr>
        <w:t>（</w:t>
      </w:r>
      <w:r>
        <w:rPr>
          <w:rFonts w:hint="eastAsia" w:ascii="仿宋_GB2312" w:hAnsi="仿宋_GB2312" w:eastAsia="仿宋_GB2312" w:cs="仿宋_GB2312"/>
          <w:color w:val="000000" w:themeColor="text1"/>
          <w:sz w:val="32"/>
          <w:szCs w:val="40"/>
          <w:highlight w:val="none"/>
          <w:u w:val="none"/>
          <w:shd w:val="clear" w:color="auto" w:fill="auto"/>
          <w:lang w:eastAsia="zh-CN"/>
          <w14:textFill>
            <w14:solidFill>
              <w14:schemeClr w14:val="tx1"/>
            </w14:solidFill>
          </w14:textFill>
        </w:rPr>
        <w:t>四</w:t>
      </w:r>
      <w:r>
        <w:rPr>
          <w:rFonts w:hint="eastAsia" w:ascii="仿宋_GB2312" w:hAnsi="仿宋_GB2312" w:eastAsia="仿宋_GB2312" w:cs="仿宋_GB2312"/>
          <w:color w:val="000000" w:themeColor="text1"/>
          <w:sz w:val="32"/>
          <w:szCs w:val="40"/>
          <w:highlight w:val="none"/>
          <w:u w:val="none"/>
          <w:shd w:val="clear" w:color="auto" w:fill="auto"/>
          <w14:textFill>
            <w14:solidFill>
              <w14:schemeClr w14:val="tx1"/>
            </w14:solidFill>
          </w14:textFill>
        </w:rPr>
        <w:t>）对</w:t>
      </w:r>
      <w:r>
        <w:rPr>
          <w:rFonts w:hint="eastAsia" w:ascii="仿宋_GB2312" w:hAnsi="仿宋_GB2312" w:eastAsia="仿宋_GB2312" w:cs="仿宋_GB2312"/>
          <w:strike w:val="0"/>
          <w:dstrike w:val="0"/>
          <w:color w:val="000000" w:themeColor="text1"/>
          <w:sz w:val="32"/>
          <w:szCs w:val="40"/>
          <w:highlight w:val="none"/>
          <w:u w:val="none"/>
          <w:shd w:val="clear" w:color="auto" w:fill="auto"/>
          <w:lang w:eastAsia="zh-CN"/>
          <w14:textFill>
            <w14:solidFill>
              <w14:schemeClr w14:val="tx1"/>
            </w14:solidFill>
          </w14:textFill>
        </w:rPr>
        <w:t>经认定的</w:t>
      </w:r>
      <w:r>
        <w:rPr>
          <w:rFonts w:hint="eastAsia" w:ascii="仿宋_GB2312" w:hAnsi="仿宋_GB2312" w:eastAsia="仿宋_GB2312" w:cs="仿宋_GB2312"/>
          <w:color w:val="000000" w:themeColor="text1"/>
          <w:sz w:val="32"/>
          <w:szCs w:val="40"/>
          <w:highlight w:val="none"/>
          <w:u w:val="none"/>
          <w:shd w:val="clear" w:color="auto" w:fill="auto"/>
          <w14:textFill>
            <w14:solidFill>
              <w14:schemeClr w14:val="tx1"/>
            </w14:solidFill>
          </w14:textFill>
        </w:rPr>
        <w:t>拟上市企业在改制设立股份有限公司时，历年享受国家优惠政策形成的“</w:t>
      </w:r>
      <w:r>
        <w:rPr>
          <w:rFonts w:hint="eastAsia" w:ascii="仿宋_GB2312" w:hAnsi="仿宋_GB2312" w:eastAsia="仿宋_GB2312" w:cs="仿宋_GB2312"/>
          <w:color w:val="000000" w:themeColor="text1"/>
          <w:sz w:val="32"/>
          <w:szCs w:val="40"/>
          <w:u w:val="none"/>
          <w:shd w:val="clear" w:color="auto" w:fill="auto"/>
          <w14:textFill>
            <w14:solidFill>
              <w14:schemeClr w14:val="tx1"/>
            </w14:solidFill>
          </w14:textFill>
        </w:rPr>
        <w:t>国家扶持资金”</w:t>
      </w:r>
      <w:r>
        <w:rPr>
          <w:rFonts w:hint="eastAsia" w:ascii="仿宋_GB2312" w:hAnsi="仿宋_GB2312" w:eastAsia="仿宋_GB2312" w:cs="仿宋_GB2312"/>
          <w:color w:val="000000" w:themeColor="text1"/>
          <w:sz w:val="32"/>
          <w:szCs w:val="40"/>
          <w:highlight w:val="none"/>
          <w:u w:val="none"/>
          <w:shd w:val="clear" w:color="auto" w:fill="auto"/>
          <w14:textFill>
            <w14:solidFill>
              <w14:schemeClr w14:val="tx1"/>
            </w14:solidFill>
          </w14:textFill>
        </w:rPr>
        <w:t>，</w:t>
      </w:r>
      <w:r>
        <w:rPr>
          <w:rFonts w:hint="eastAsia" w:ascii="仿宋_GB2312" w:hAnsi="仿宋_GB2312" w:eastAsia="仿宋_GB2312" w:cs="仿宋_GB2312"/>
          <w:color w:val="000000" w:themeColor="text1"/>
          <w:sz w:val="32"/>
          <w:szCs w:val="40"/>
          <w:highlight w:val="none"/>
          <w:u w:val="none"/>
          <w:shd w:val="clear" w:color="auto" w:fill="auto"/>
          <w:lang w:val="en-US" w:eastAsia="zh-CN"/>
          <w14:textFill>
            <w14:solidFill>
              <w14:schemeClr w14:val="tx1"/>
            </w14:solidFill>
          </w14:textFill>
        </w:rPr>
        <w:t>参照市级政策执行，经批准后归投资者所有</w:t>
      </w:r>
      <w:r>
        <w:rPr>
          <w:rFonts w:hint="eastAsia" w:ascii="仿宋_GB2312" w:hAnsi="仿宋_GB2312" w:eastAsia="仿宋_GB2312" w:cs="仿宋_GB2312"/>
          <w:color w:val="000000" w:themeColor="text1"/>
          <w:sz w:val="32"/>
          <w:szCs w:val="40"/>
          <w:highlight w:val="none"/>
          <w:u w:val="none"/>
          <w:shd w:val="clear" w:color="auto" w:fill="auto"/>
          <w14:textFill>
            <w14:solidFill>
              <w14:schemeClr w14:val="tx1"/>
            </w14:solidFill>
          </w14:textFill>
        </w:rPr>
        <w:t>。</w:t>
      </w:r>
    </w:p>
    <w:p>
      <w:pPr>
        <w:keepNext w:val="0"/>
        <w:keepLines w:val="0"/>
        <w:pageBreakBefore w:val="0"/>
        <w:widowControl w:val="0"/>
        <w:tabs>
          <w:tab w:val="left" w:pos="911"/>
        </w:tabs>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黑体" w:hAnsi="黑体" w:eastAsia="黑体" w:cs="黑体"/>
          <w:color w:val="000000" w:themeColor="text1"/>
          <w:sz w:val="32"/>
          <w:szCs w:val="40"/>
          <w:u w:val="none"/>
          <w:shd w:val="clear" w:color="auto" w:fill="auto"/>
          <w:lang w:eastAsia="zh-CN"/>
          <w14:textFill>
            <w14:solidFill>
              <w14:schemeClr w14:val="tx1"/>
            </w14:solidFill>
          </w14:textFill>
        </w:rPr>
      </w:pPr>
      <w:r>
        <w:rPr>
          <w:rFonts w:hint="eastAsia" w:ascii="黑体" w:hAnsi="黑体" w:eastAsia="黑体" w:cs="黑体"/>
          <w:color w:val="000000" w:themeColor="text1"/>
          <w:sz w:val="32"/>
          <w:szCs w:val="40"/>
          <w:u w:val="none"/>
          <w:shd w:val="clear" w:color="auto" w:fill="auto"/>
          <w14:textFill>
            <w14:solidFill>
              <w14:schemeClr w14:val="tx1"/>
            </w14:solidFill>
          </w14:textFill>
        </w:rPr>
        <w:t>二、推动分类上市，</w:t>
      </w:r>
      <w:r>
        <w:rPr>
          <w:rFonts w:hint="eastAsia" w:ascii="黑体" w:hAnsi="黑体" w:eastAsia="黑体" w:cs="黑体"/>
          <w:color w:val="000000" w:themeColor="text1"/>
          <w:sz w:val="32"/>
          <w:szCs w:val="40"/>
          <w:u w:val="none"/>
          <w:shd w:val="clear" w:color="auto" w:fill="auto"/>
          <w:lang w:eastAsia="zh-CN"/>
          <w14:textFill>
            <w14:solidFill>
              <w14:schemeClr w14:val="tx1"/>
            </w14:solidFill>
          </w14:textFill>
        </w:rPr>
        <w:t>培育上市梯队</w:t>
      </w:r>
    </w:p>
    <w:p>
      <w:pPr>
        <w:keepNext w:val="0"/>
        <w:keepLines w:val="0"/>
        <w:pageBreakBefore w:val="0"/>
        <w:widowControl w:val="0"/>
        <w:tabs>
          <w:tab w:val="left" w:pos="911"/>
        </w:tabs>
        <w:kinsoku/>
        <w:wordWrap/>
        <w:overflowPunct/>
        <w:topLinePunct w:val="0"/>
        <w:autoSpaceDE/>
        <w:autoSpaceDN/>
        <w:bidi w:val="0"/>
        <w:adjustRightInd/>
        <w:snapToGrid/>
        <w:spacing w:line="520" w:lineRule="exact"/>
        <w:ind w:left="0" w:leftChars="0" w:firstLine="640"/>
        <w:jc w:val="both"/>
        <w:textAlignment w:val="auto"/>
        <w:rPr>
          <w:rFonts w:hint="default" w:ascii="仿宋_GB2312" w:hAnsi="仿宋_GB2312" w:eastAsia="仿宋_GB2312" w:cs="仿宋_GB2312"/>
          <w:color w:val="000000" w:themeColor="text1"/>
          <w:sz w:val="32"/>
          <w:szCs w:val="40"/>
          <w:u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40"/>
          <w:highlight w:val="none"/>
          <w:u w:val="none"/>
          <w:shd w:val="clear" w:color="auto" w:fill="auto"/>
          <w:lang w:eastAsia="zh-CN"/>
          <w14:textFill>
            <w14:solidFill>
              <w14:schemeClr w14:val="tx1"/>
            </w14:solidFill>
          </w14:textFill>
        </w:rPr>
        <w:t>（五）对企业向</w:t>
      </w:r>
      <w:r>
        <w:rPr>
          <w:rFonts w:hint="eastAsia" w:ascii="仿宋_GB2312" w:hAnsi="仿宋_GB2312" w:eastAsia="仿宋_GB2312" w:cs="仿宋_GB2312"/>
          <w:color w:val="000000" w:themeColor="text1"/>
          <w:sz w:val="32"/>
          <w:szCs w:val="40"/>
          <w:u w:val="none"/>
          <w:shd w:val="clear" w:color="auto" w:fill="auto"/>
          <w:lang w:val="en-US" w:eastAsia="zh-CN"/>
          <w14:textFill>
            <w14:solidFill>
              <w14:schemeClr w14:val="tx1"/>
            </w14:solidFill>
          </w14:textFill>
        </w:rPr>
        <w:t>上海、深圳证券交易所上市的，在首次辅导、报会、首发上市环节分别给予100万、100万元、200万元补助；向北京证券交易所上市的，在首次新三板挂牌、进入创新层、辅导、报会、首发上市环节分别给予20万、30万、50万、100万元、200万元补助；在境外主流交易所首发上市的，中介机构费用按实补助，总额不超过400万元。同一家企业在境内外多地上市的，只享受一次政策奖补。</w:t>
      </w:r>
    </w:p>
    <w:p>
      <w:pPr>
        <w:keepNext w:val="0"/>
        <w:keepLines w:val="0"/>
        <w:pageBreakBefore w:val="0"/>
        <w:widowControl w:val="0"/>
        <w:tabs>
          <w:tab w:val="left" w:pos="911"/>
        </w:tabs>
        <w:kinsoku/>
        <w:wordWrap/>
        <w:overflowPunct/>
        <w:topLinePunct w:val="0"/>
        <w:autoSpaceDE/>
        <w:autoSpaceDN/>
        <w:bidi w:val="0"/>
        <w:adjustRightInd/>
        <w:snapToGrid/>
        <w:spacing w:line="520" w:lineRule="exact"/>
        <w:ind w:left="0" w:leftChars="0" w:firstLine="640"/>
        <w:jc w:val="both"/>
        <w:textAlignment w:val="auto"/>
        <w:rPr>
          <w:rFonts w:hint="eastAsia" w:ascii="仿宋_GB2312" w:hAnsi="仿宋_GB2312" w:eastAsia="仿宋_GB2312" w:cs="仿宋_GB2312"/>
          <w:color w:val="000000" w:themeColor="text1"/>
          <w:sz w:val="32"/>
          <w:szCs w:val="40"/>
          <w:u w:val="none"/>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40"/>
          <w:highlight w:val="none"/>
          <w:u w:val="none"/>
          <w:shd w:val="clear" w:color="auto" w:fill="auto"/>
          <w:lang w:eastAsia="zh-CN"/>
          <w14:textFill>
            <w14:solidFill>
              <w14:schemeClr w14:val="tx1"/>
            </w14:solidFill>
          </w14:textFill>
        </w:rPr>
        <w:t>（六）对企业</w:t>
      </w:r>
      <w:r>
        <w:rPr>
          <w:rFonts w:hint="eastAsia" w:ascii="仿宋_GB2312" w:hAnsi="仿宋_GB2312" w:eastAsia="仿宋_GB2312" w:cs="仿宋_GB2312"/>
          <w:color w:val="000000" w:themeColor="text1"/>
          <w:sz w:val="32"/>
          <w:szCs w:val="40"/>
          <w:u w:val="none"/>
          <w:shd w:val="clear" w:color="auto" w:fill="auto"/>
          <w14:textFill>
            <w14:solidFill>
              <w14:schemeClr w14:val="tx1"/>
            </w14:solidFill>
          </w14:textFill>
        </w:rPr>
        <w:t>在浙江股权交易中心科创助力板挂牌的给予30万元补助</w:t>
      </w:r>
      <w:r>
        <w:rPr>
          <w:rFonts w:hint="eastAsia" w:ascii="仿宋_GB2312" w:hAnsi="仿宋_GB2312" w:eastAsia="仿宋_GB2312" w:cs="仿宋_GB2312"/>
          <w:color w:val="000000" w:themeColor="text1"/>
          <w:sz w:val="32"/>
          <w:szCs w:val="40"/>
          <w:u w:val="none"/>
          <w:shd w:val="clear" w:color="auto" w:fill="auto"/>
          <w:lang w:eastAsia="zh-CN"/>
          <w14:textFill>
            <w14:solidFill>
              <w14:schemeClr w14:val="tx1"/>
            </w14:solidFill>
          </w14:textFill>
        </w:rPr>
        <w:t>；在台州</w:t>
      </w:r>
      <w:r>
        <w:rPr>
          <w:rFonts w:hint="eastAsia" w:ascii="仿宋_GB2312" w:hAnsi="仿宋_GB2312" w:eastAsia="仿宋_GB2312" w:cs="仿宋_GB2312"/>
          <w:color w:val="000000" w:themeColor="text1"/>
          <w:sz w:val="32"/>
          <w:szCs w:val="40"/>
          <w:u w:val="none"/>
          <w:shd w:val="clear" w:color="auto" w:fill="auto"/>
          <w14:textFill>
            <w14:solidFill>
              <w14:schemeClr w14:val="tx1"/>
            </w14:solidFill>
          </w14:textFill>
        </w:rPr>
        <w:t>双创苗圃板挂牌的给予</w:t>
      </w:r>
      <w:r>
        <w:rPr>
          <w:rFonts w:hint="eastAsia" w:ascii="仿宋_GB2312" w:hAnsi="仿宋_GB2312" w:eastAsia="仿宋_GB2312" w:cs="仿宋_GB2312"/>
          <w:color w:val="000000" w:themeColor="text1"/>
          <w:sz w:val="32"/>
          <w:szCs w:val="40"/>
          <w:u w:val="none"/>
          <w:shd w:val="clear" w:color="auto" w:fill="auto"/>
          <w:lang w:eastAsia="zh-CN"/>
          <w14:textFill>
            <w14:solidFill>
              <w14:schemeClr w14:val="tx1"/>
            </w14:solidFill>
          </w14:textFill>
        </w:rPr>
        <w:t>挂牌费和年费全免</w:t>
      </w:r>
      <w:r>
        <w:rPr>
          <w:rFonts w:hint="eastAsia" w:ascii="仿宋_GB2312" w:hAnsi="仿宋_GB2312" w:eastAsia="仿宋_GB2312" w:cs="仿宋_GB2312"/>
          <w:color w:val="000000" w:themeColor="text1"/>
          <w:sz w:val="32"/>
          <w:szCs w:val="40"/>
          <w:u w:val="none"/>
          <w:shd w:val="clear" w:color="auto" w:fill="auto"/>
          <w14:textFill>
            <w14:solidFill>
              <w14:schemeClr w14:val="tx1"/>
            </w14:solidFill>
          </w14:textFill>
        </w:rPr>
        <w:t>。</w:t>
      </w:r>
    </w:p>
    <w:p>
      <w:pPr>
        <w:keepNext w:val="0"/>
        <w:keepLines w:val="0"/>
        <w:pageBreakBefore w:val="0"/>
        <w:widowControl w:val="0"/>
        <w:tabs>
          <w:tab w:val="left" w:pos="911"/>
        </w:tabs>
        <w:kinsoku/>
        <w:wordWrap/>
        <w:overflowPunct/>
        <w:topLinePunct w:val="0"/>
        <w:autoSpaceDE/>
        <w:autoSpaceDN/>
        <w:bidi w:val="0"/>
        <w:adjustRightInd/>
        <w:snapToGrid/>
        <w:spacing w:line="520" w:lineRule="exact"/>
        <w:ind w:left="0" w:leftChars="0" w:firstLine="640"/>
        <w:jc w:val="both"/>
        <w:textAlignment w:val="auto"/>
        <w:rPr>
          <w:rFonts w:hint="eastAsia" w:ascii="仿宋_GB2312" w:hAnsi="仿宋_GB2312" w:eastAsia="仿宋_GB2312" w:cs="仿宋_GB2312"/>
          <w:color w:val="000000" w:themeColor="text1"/>
          <w:sz w:val="32"/>
          <w:szCs w:val="40"/>
          <w:u w:val="none"/>
          <w:shd w:val="clear" w:color="auto" w:fill="auto"/>
          <w:lang w:eastAsia="zh-CN"/>
          <w14:textFill>
            <w14:solidFill>
              <w14:schemeClr w14:val="tx1"/>
            </w14:solidFill>
          </w14:textFill>
        </w:rPr>
      </w:pPr>
      <w:r>
        <w:rPr>
          <w:rFonts w:hint="eastAsia" w:ascii="仿宋_GB2312" w:hAnsi="仿宋_GB2312" w:eastAsia="仿宋_GB2312" w:cs="仿宋_GB2312"/>
          <w:color w:val="000000" w:themeColor="text1"/>
          <w:sz w:val="32"/>
          <w:szCs w:val="40"/>
          <w:u w:val="none"/>
          <w:shd w:val="clear" w:color="auto" w:fill="auto"/>
          <w:lang w:eastAsia="zh-CN"/>
          <w14:textFill>
            <w14:solidFill>
              <w14:schemeClr w14:val="tx1"/>
            </w14:solidFill>
          </w14:textFill>
        </w:rPr>
        <w:t>（七）对企业在境内证券交易所科创板（含转板）上市的，再给予</w:t>
      </w:r>
      <w:r>
        <w:rPr>
          <w:rFonts w:hint="eastAsia" w:ascii="仿宋_GB2312" w:hAnsi="仿宋_GB2312" w:eastAsia="仿宋_GB2312" w:cs="仿宋_GB2312"/>
          <w:color w:val="000000" w:themeColor="text1"/>
          <w:sz w:val="32"/>
          <w:szCs w:val="40"/>
          <w:u w:val="none"/>
          <w:shd w:val="clear" w:color="auto" w:fill="auto"/>
          <w:lang w:val="en-US" w:eastAsia="zh-CN"/>
          <w14:textFill>
            <w14:solidFill>
              <w14:schemeClr w14:val="tx1"/>
            </w14:solidFill>
          </w14:textFill>
        </w:rPr>
        <w:t>50万元</w:t>
      </w:r>
      <w:r>
        <w:rPr>
          <w:rFonts w:hint="eastAsia" w:ascii="仿宋_GB2312" w:hAnsi="仿宋_GB2312" w:eastAsia="仿宋_GB2312" w:cs="仿宋_GB2312"/>
          <w:color w:val="000000" w:themeColor="text1"/>
          <w:sz w:val="32"/>
          <w:szCs w:val="40"/>
          <w:u w:val="none"/>
          <w:shd w:val="clear" w:color="auto" w:fill="auto"/>
          <w:lang w:eastAsia="zh-CN"/>
          <w14:textFill>
            <w14:solidFill>
              <w14:schemeClr w14:val="tx1"/>
            </w14:solidFill>
          </w14:textFill>
        </w:rPr>
        <w:t>补助。</w:t>
      </w:r>
    </w:p>
    <w:p>
      <w:pPr>
        <w:keepNext w:val="0"/>
        <w:keepLines w:val="0"/>
        <w:pageBreakBefore w:val="0"/>
        <w:widowControl w:val="0"/>
        <w:tabs>
          <w:tab w:val="left" w:pos="911"/>
        </w:tabs>
        <w:kinsoku/>
        <w:wordWrap/>
        <w:overflowPunct/>
        <w:topLinePunct w:val="0"/>
        <w:autoSpaceDE/>
        <w:autoSpaceDN/>
        <w:bidi w:val="0"/>
        <w:adjustRightInd/>
        <w:snapToGrid/>
        <w:spacing w:line="520" w:lineRule="exact"/>
        <w:ind w:left="0" w:leftChars="0" w:firstLine="640"/>
        <w:jc w:val="both"/>
        <w:textAlignment w:val="auto"/>
        <w:rPr>
          <w:rFonts w:hint="eastAsia" w:ascii="仿宋_GB2312" w:hAnsi="仿宋_GB2312" w:eastAsia="仿宋_GB2312" w:cs="仿宋_GB2312"/>
          <w:color w:val="000000" w:themeColor="text1"/>
          <w:sz w:val="32"/>
          <w:szCs w:val="40"/>
          <w:u w:val="none"/>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40"/>
          <w:highlight w:val="none"/>
          <w:u w:val="none"/>
          <w:shd w:val="clear" w:color="auto" w:fill="auto"/>
          <w:lang w:eastAsia="zh-CN"/>
          <w14:textFill>
            <w14:solidFill>
              <w14:schemeClr w14:val="tx1"/>
            </w14:solidFill>
          </w14:textFill>
        </w:rPr>
        <w:t>（八）</w:t>
      </w:r>
      <w:r>
        <w:rPr>
          <w:rFonts w:hint="eastAsia" w:ascii="仿宋_GB2312" w:hAnsi="仿宋_GB2312" w:eastAsia="仿宋_GB2312" w:cs="仿宋_GB2312"/>
          <w:color w:val="000000" w:themeColor="text1"/>
          <w:sz w:val="32"/>
          <w:szCs w:val="40"/>
          <w:highlight w:val="none"/>
          <w:u w:val="none"/>
          <w:shd w:val="clear" w:color="auto" w:fill="auto"/>
          <w:lang w:val="en-US" w:eastAsia="zh-CN"/>
          <w14:textFill>
            <w14:solidFill>
              <w14:schemeClr w14:val="tx1"/>
            </w14:solidFill>
          </w14:textFill>
        </w:rPr>
        <w:t>对新引进上市公司，</w:t>
      </w:r>
      <w:r>
        <w:rPr>
          <w:rFonts w:hint="eastAsia" w:ascii="仿宋_GB2312" w:hAnsi="仿宋_GB2312" w:eastAsia="仿宋_GB2312" w:cs="仿宋_GB2312"/>
          <w:color w:val="000000" w:themeColor="text1"/>
          <w:sz w:val="32"/>
          <w:szCs w:val="40"/>
          <w:highlight w:val="none"/>
          <w:u w:val="none"/>
          <w:shd w:val="clear" w:color="auto" w:fill="auto"/>
          <w14:textFill>
            <w14:solidFill>
              <w14:schemeClr w14:val="tx1"/>
            </w14:solidFill>
          </w14:textFill>
        </w:rPr>
        <w:t>给予400万元</w:t>
      </w:r>
      <w:r>
        <w:rPr>
          <w:rFonts w:hint="eastAsia" w:ascii="仿宋_GB2312" w:hAnsi="仿宋_GB2312" w:eastAsia="仿宋_GB2312" w:cs="仿宋_GB2312"/>
          <w:color w:val="000000" w:themeColor="text1"/>
          <w:sz w:val="32"/>
          <w:szCs w:val="40"/>
          <w:highlight w:val="none"/>
          <w:u w:val="none"/>
          <w:shd w:val="clear" w:color="auto" w:fill="auto"/>
          <w:lang w:eastAsia="zh-CN"/>
          <w14:textFill>
            <w14:solidFill>
              <w14:schemeClr w14:val="tx1"/>
            </w14:solidFill>
          </w14:textFill>
        </w:rPr>
        <w:t>补助</w:t>
      </w:r>
      <w:r>
        <w:rPr>
          <w:rFonts w:hint="eastAsia" w:ascii="仿宋_GB2312" w:hAnsi="仿宋_GB2312" w:eastAsia="仿宋_GB2312" w:cs="仿宋_GB2312"/>
          <w:color w:val="000000" w:themeColor="text1"/>
          <w:sz w:val="32"/>
          <w:szCs w:val="40"/>
          <w:u w:val="none"/>
          <w:shd w:val="clear" w:color="auto" w:fill="auto"/>
          <w:lang w:eastAsia="zh-CN"/>
          <w14:textFill>
            <w14:solidFill>
              <w14:schemeClr w14:val="tx1"/>
            </w14:solidFill>
          </w14:textFill>
        </w:rPr>
        <w:t>。</w:t>
      </w:r>
    </w:p>
    <w:p>
      <w:pPr>
        <w:keepNext w:val="0"/>
        <w:keepLines w:val="0"/>
        <w:pageBreakBefore w:val="0"/>
        <w:widowControl w:val="0"/>
        <w:tabs>
          <w:tab w:val="left" w:pos="911"/>
        </w:tabs>
        <w:kinsoku/>
        <w:wordWrap/>
        <w:overflowPunct/>
        <w:topLinePunct w:val="0"/>
        <w:autoSpaceDE/>
        <w:autoSpaceDN/>
        <w:bidi w:val="0"/>
        <w:adjustRightInd/>
        <w:snapToGrid/>
        <w:spacing w:line="520" w:lineRule="exact"/>
        <w:ind w:left="0" w:leftChars="0" w:firstLine="640" w:firstLineChars="200"/>
        <w:jc w:val="both"/>
        <w:textAlignment w:val="auto"/>
        <w:rPr>
          <w:rFonts w:ascii="黑体" w:hAnsi="黑体" w:eastAsia="黑体" w:cs="黑体"/>
          <w:color w:val="000000" w:themeColor="text1"/>
          <w:sz w:val="32"/>
          <w:szCs w:val="40"/>
          <w:u w:val="none"/>
          <w:shd w:val="clear" w:color="auto" w:fill="auto"/>
          <w14:textFill>
            <w14:solidFill>
              <w14:schemeClr w14:val="tx1"/>
            </w14:solidFill>
          </w14:textFill>
        </w:rPr>
      </w:pPr>
      <w:r>
        <w:rPr>
          <w:rFonts w:hint="eastAsia" w:ascii="黑体" w:hAnsi="黑体" w:eastAsia="黑体" w:cs="黑体"/>
          <w:color w:val="000000" w:themeColor="text1"/>
          <w:sz w:val="32"/>
          <w:szCs w:val="40"/>
          <w:u w:val="none"/>
          <w:shd w:val="clear" w:color="auto" w:fill="auto"/>
          <w14:textFill>
            <w14:solidFill>
              <w14:schemeClr w14:val="tx1"/>
            </w14:solidFill>
          </w14:textFill>
        </w:rPr>
        <w:t>三、支持融资并购，加快裂变发展</w:t>
      </w:r>
    </w:p>
    <w:p>
      <w:pPr>
        <w:keepNext w:val="0"/>
        <w:keepLines w:val="0"/>
        <w:pageBreakBefore w:val="0"/>
        <w:widowControl w:val="0"/>
        <w:tabs>
          <w:tab w:val="left" w:pos="911"/>
        </w:tabs>
        <w:kinsoku/>
        <w:wordWrap/>
        <w:overflowPunct/>
        <w:topLinePunct w:val="0"/>
        <w:autoSpaceDE/>
        <w:autoSpaceDN/>
        <w:bidi w:val="0"/>
        <w:adjustRightInd/>
        <w:snapToGrid/>
        <w:spacing w:line="520" w:lineRule="exact"/>
        <w:ind w:left="0" w:leftChars="0" w:firstLine="640"/>
        <w:jc w:val="left"/>
        <w:textAlignment w:val="auto"/>
        <w:rPr>
          <w:rFonts w:hint="default" w:eastAsia="仿宋_GB2312"/>
          <w:color w:val="000000" w:themeColor="text1"/>
          <w:highlight w:val="none"/>
          <w:u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40"/>
          <w:highlight w:val="none"/>
          <w:u w:val="none"/>
          <w:shd w:val="clear" w:color="auto" w:fill="auto"/>
          <w:lang w:eastAsia="zh-CN"/>
          <w14:textFill>
            <w14:solidFill>
              <w14:schemeClr w14:val="tx1"/>
            </w14:solidFill>
          </w14:textFill>
        </w:rPr>
        <w:t>（九）对企</w:t>
      </w:r>
      <w:r>
        <w:rPr>
          <w:rFonts w:hint="eastAsia" w:ascii="仿宋_GB2312" w:hAnsi="仿宋_GB2312" w:eastAsia="仿宋_GB2312" w:cs="仿宋_GB2312"/>
          <w:color w:val="000000" w:themeColor="text1"/>
          <w:sz w:val="32"/>
          <w:szCs w:val="40"/>
          <w:u w:val="none"/>
          <w:shd w:val="clear" w:color="auto" w:fill="auto"/>
          <w:lang w:eastAsia="zh-CN"/>
          <w14:textFill>
            <w14:solidFill>
              <w14:schemeClr w14:val="tx1"/>
            </w14:solidFill>
          </w14:textFill>
        </w:rPr>
        <w:t>业以招拍挂方式</w:t>
      </w:r>
      <w:r>
        <w:rPr>
          <w:rFonts w:hint="eastAsia" w:ascii="仿宋_GB2312" w:hAnsi="仿宋_GB2312" w:eastAsia="仿宋_GB2312" w:cs="仿宋_GB2312"/>
          <w:color w:val="000000" w:themeColor="text1"/>
          <w:sz w:val="32"/>
          <w:szCs w:val="40"/>
          <w:highlight w:val="none"/>
          <w:u w:val="none"/>
          <w:shd w:val="clear" w:color="auto" w:fill="auto"/>
          <w14:textFill>
            <w14:solidFill>
              <w14:schemeClr w14:val="tx1"/>
            </w14:solidFill>
          </w14:textFill>
        </w:rPr>
        <w:t>新取得工业用地的</w:t>
      </w:r>
      <w:r>
        <w:rPr>
          <w:rFonts w:hint="eastAsia" w:ascii="仿宋_GB2312" w:hAnsi="仿宋_GB2312" w:eastAsia="仿宋_GB2312" w:cs="仿宋_GB2312"/>
          <w:color w:val="000000" w:themeColor="text1"/>
          <w:sz w:val="32"/>
          <w:szCs w:val="40"/>
          <w:highlight w:val="none"/>
          <w:u w:val="none"/>
          <w:shd w:val="clear" w:color="auto" w:fill="auto"/>
          <w:lang w:eastAsia="zh-CN"/>
          <w14:textFill>
            <w14:solidFill>
              <w14:schemeClr w14:val="tx1"/>
            </w14:solidFill>
          </w14:textFill>
        </w:rPr>
        <w:t>首发</w:t>
      </w:r>
      <w:r>
        <w:rPr>
          <w:rFonts w:hint="eastAsia" w:ascii="仿宋_GB2312" w:hAnsi="仿宋_GB2312" w:eastAsia="仿宋_GB2312" w:cs="仿宋_GB2312"/>
          <w:color w:val="000000" w:themeColor="text1"/>
          <w:sz w:val="32"/>
          <w:szCs w:val="40"/>
          <w:highlight w:val="none"/>
          <w:u w:val="none"/>
          <w:shd w:val="clear" w:color="auto" w:fill="auto"/>
          <w14:textFill>
            <w14:solidFill>
              <w14:schemeClr w14:val="tx1"/>
            </w14:solidFill>
          </w14:textFill>
        </w:rPr>
        <w:t>上市募投项目，在开工后按5万元/亩予以补助</w:t>
      </w:r>
      <w:r>
        <w:rPr>
          <w:rFonts w:hint="eastAsia" w:ascii="仿宋_GB2312" w:hAnsi="仿宋_GB2312" w:eastAsia="仿宋_GB2312" w:cs="仿宋_GB2312"/>
          <w:color w:val="000000" w:themeColor="text1"/>
          <w:sz w:val="32"/>
          <w:szCs w:val="40"/>
          <w:highlight w:val="none"/>
          <w:u w:val="none"/>
          <w:shd w:val="clear" w:color="auto" w:fill="auto"/>
          <w:lang w:eastAsia="zh-CN"/>
          <w14:textFill>
            <w14:solidFill>
              <w14:schemeClr w14:val="tx1"/>
            </w14:solidFill>
          </w14:textFill>
        </w:rPr>
        <w:t>；对</w:t>
      </w:r>
      <w:r>
        <w:rPr>
          <w:rFonts w:hint="eastAsia" w:ascii="仿宋_GB2312" w:hAnsi="仿宋_GB2312" w:eastAsia="仿宋_GB2312" w:cs="仿宋_GB2312"/>
          <w:color w:val="000000" w:themeColor="text1"/>
          <w:sz w:val="32"/>
          <w:szCs w:val="40"/>
          <w:highlight w:val="none"/>
          <w:u w:val="none"/>
          <w:shd w:val="clear" w:color="auto" w:fill="auto"/>
          <w14:textFill>
            <w14:solidFill>
              <w14:schemeClr w14:val="tx1"/>
            </w14:solidFill>
          </w14:textFill>
        </w:rPr>
        <w:t>企业</w:t>
      </w:r>
      <w:r>
        <w:rPr>
          <w:rFonts w:hint="eastAsia" w:ascii="仿宋_GB2312" w:hAnsi="仿宋_GB2312" w:eastAsia="仿宋_GB2312" w:cs="仿宋_GB2312"/>
          <w:color w:val="000000" w:themeColor="text1"/>
          <w:sz w:val="32"/>
          <w:szCs w:val="40"/>
          <w:highlight w:val="none"/>
          <w:u w:val="none"/>
          <w:shd w:val="clear" w:color="auto" w:fill="auto"/>
          <w:lang w:eastAsia="zh-CN"/>
          <w14:textFill>
            <w14:solidFill>
              <w14:schemeClr w14:val="tx1"/>
            </w14:solidFill>
          </w14:textFill>
        </w:rPr>
        <w:t>首发上市</w:t>
      </w:r>
      <w:r>
        <w:rPr>
          <w:rFonts w:hint="eastAsia" w:ascii="仿宋_GB2312" w:hAnsi="仿宋_GB2312" w:eastAsia="仿宋_GB2312" w:cs="仿宋_GB2312"/>
          <w:color w:val="000000" w:themeColor="text1"/>
          <w:sz w:val="32"/>
          <w:szCs w:val="40"/>
          <w:highlight w:val="none"/>
          <w:u w:val="none"/>
          <w:shd w:val="clear" w:color="auto" w:fill="auto"/>
          <w14:textFill>
            <w14:solidFill>
              <w14:schemeClr w14:val="tx1"/>
            </w14:solidFill>
          </w14:textFill>
        </w:rPr>
        <w:t>募集资金</w:t>
      </w:r>
      <w:r>
        <w:rPr>
          <w:rFonts w:hint="eastAsia" w:ascii="仿宋_GB2312" w:hAnsi="仿宋_GB2312" w:eastAsia="仿宋_GB2312" w:cs="仿宋_GB2312"/>
          <w:color w:val="000000" w:themeColor="text1"/>
          <w:sz w:val="32"/>
          <w:szCs w:val="40"/>
          <w:highlight w:val="none"/>
          <w:u w:val="none"/>
          <w:shd w:val="clear" w:color="auto" w:fill="auto"/>
          <w:lang w:eastAsia="zh-CN"/>
          <w14:textFill>
            <w14:solidFill>
              <w14:schemeClr w14:val="tx1"/>
            </w14:solidFill>
          </w14:textFill>
        </w:rPr>
        <w:t>投入本地项目</w:t>
      </w:r>
      <w:r>
        <w:rPr>
          <w:rFonts w:hint="eastAsia" w:ascii="仿宋_GB2312" w:hAnsi="仿宋_GB2312" w:eastAsia="仿宋_GB2312" w:cs="仿宋_GB2312"/>
          <w:color w:val="000000" w:themeColor="text1"/>
          <w:sz w:val="32"/>
          <w:szCs w:val="40"/>
          <w:highlight w:val="none"/>
          <w:u w:val="none"/>
          <w:shd w:val="clear" w:color="auto" w:fill="auto"/>
          <w14:textFill>
            <w14:solidFill>
              <w14:schemeClr w14:val="tx1"/>
            </w14:solidFill>
          </w14:textFill>
        </w:rPr>
        <w:t>，按实际投资金额的0.3%给予补助，</w:t>
      </w:r>
      <w:r>
        <w:rPr>
          <w:rFonts w:hint="eastAsia" w:ascii="仿宋_GB2312" w:hAnsi="仿宋_GB2312" w:eastAsia="仿宋_GB2312" w:cs="仿宋_GB2312"/>
          <w:color w:val="auto"/>
          <w:sz w:val="32"/>
          <w:szCs w:val="40"/>
          <w:highlight w:val="none"/>
          <w:u w:val="none"/>
          <w:shd w:val="clear" w:color="auto" w:fill="auto"/>
          <w:lang w:eastAsia="zh-CN"/>
        </w:rPr>
        <w:t>总额</w:t>
      </w:r>
      <w:r>
        <w:rPr>
          <w:rFonts w:hint="eastAsia" w:ascii="仿宋_GB2312" w:hAnsi="仿宋_GB2312" w:eastAsia="仿宋_GB2312" w:cs="仿宋_GB2312"/>
          <w:color w:val="auto"/>
          <w:sz w:val="32"/>
          <w:szCs w:val="40"/>
          <w:highlight w:val="none"/>
          <w:u w:val="none"/>
          <w:shd w:val="clear" w:color="auto" w:fill="auto"/>
        </w:rPr>
        <w:t>不超过</w:t>
      </w:r>
      <w:r>
        <w:rPr>
          <w:rFonts w:hint="eastAsia" w:ascii="仿宋_GB2312" w:hAnsi="仿宋_GB2312" w:eastAsia="仿宋_GB2312" w:cs="仿宋_GB2312"/>
          <w:color w:val="auto"/>
          <w:sz w:val="32"/>
          <w:szCs w:val="40"/>
          <w:highlight w:val="none"/>
          <w:u w:val="none"/>
          <w:shd w:val="clear" w:color="auto" w:fill="auto"/>
          <w:lang w:val="en-US" w:eastAsia="zh-CN"/>
        </w:rPr>
        <w:t>3</w:t>
      </w:r>
      <w:r>
        <w:rPr>
          <w:rFonts w:hint="eastAsia" w:ascii="仿宋_GB2312" w:hAnsi="仿宋_GB2312" w:eastAsia="仿宋_GB2312" w:cs="仿宋_GB2312"/>
          <w:color w:val="auto"/>
          <w:sz w:val="32"/>
          <w:szCs w:val="40"/>
          <w:highlight w:val="none"/>
          <w:u w:val="none"/>
          <w:shd w:val="clear" w:color="auto" w:fill="auto"/>
        </w:rPr>
        <w:t>00万元。</w:t>
      </w:r>
      <w:r>
        <w:rPr>
          <w:rFonts w:hint="eastAsia" w:ascii="仿宋_GB2312" w:hAnsi="仿宋_GB2312" w:eastAsia="仿宋_GB2312" w:cs="仿宋_GB2312"/>
          <w:color w:val="000000" w:themeColor="text1"/>
          <w:sz w:val="32"/>
          <w:szCs w:val="40"/>
          <w:highlight w:val="none"/>
          <w:u w:val="none"/>
          <w:shd w:val="clear" w:color="auto" w:fill="auto"/>
          <w:lang w:eastAsia="zh-CN"/>
          <w14:textFill>
            <w14:solidFill>
              <w14:schemeClr w14:val="tx1"/>
            </w14:solidFill>
          </w14:textFill>
        </w:rPr>
        <w:t>本条政策两项补助不重复享受</w:t>
      </w:r>
      <w:r>
        <w:rPr>
          <w:rFonts w:hint="eastAsia" w:ascii="仿宋_GB2312" w:hAnsi="仿宋_GB2312" w:eastAsia="仿宋_GB2312" w:cs="仿宋_GB2312"/>
          <w:color w:val="000000" w:themeColor="text1"/>
          <w:sz w:val="32"/>
          <w:szCs w:val="40"/>
          <w:highlight w:val="none"/>
          <w:u w:val="none"/>
          <w:shd w:val="clear" w:color="auto" w:fill="auto"/>
          <w:lang w:val="en-US" w:eastAsia="zh-CN"/>
          <w14:textFill>
            <w14:solidFill>
              <w14:schemeClr w14:val="tx1"/>
            </w14:solidFill>
          </w14:textFill>
        </w:rPr>
        <w:t>。</w:t>
      </w:r>
    </w:p>
    <w:p>
      <w:pPr>
        <w:pStyle w:val="4"/>
        <w:keepNext w:val="0"/>
        <w:keepLines w:val="0"/>
        <w:pageBreakBefore w:val="0"/>
        <w:widowControl w:val="0"/>
        <w:kinsoku/>
        <w:wordWrap/>
        <w:overflowPunct/>
        <w:topLinePunct w:val="0"/>
        <w:autoSpaceDE/>
        <w:autoSpaceDN/>
        <w:bidi w:val="0"/>
        <w:adjustRightInd/>
        <w:snapToGrid/>
        <w:spacing w:after="0" w:line="520" w:lineRule="exact"/>
        <w:ind w:left="0" w:leftChars="0" w:firstLine="640"/>
        <w:textAlignment w:val="auto"/>
        <w:rPr>
          <w:rFonts w:hint="eastAsia" w:ascii="仿宋_GB2312" w:hAnsi="仿宋_GB2312" w:eastAsia="仿宋_GB2312" w:cs="仿宋_GB2312"/>
          <w:color w:val="000000" w:themeColor="text1"/>
          <w:sz w:val="32"/>
          <w:szCs w:val="40"/>
          <w:highlight w:val="yellow"/>
          <w:u w:val="none"/>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40"/>
          <w:highlight w:val="none"/>
          <w:u w:val="none"/>
          <w:shd w:val="clear" w:color="auto" w:fill="auto"/>
          <w:lang w:eastAsia="zh-CN"/>
          <w14:textFill>
            <w14:solidFill>
              <w14:schemeClr w14:val="tx1"/>
            </w14:solidFill>
          </w14:textFill>
        </w:rPr>
        <w:t>（十）对上市公司、新三板挂牌企业在资本市场再融资（包括配股、增发、发</w:t>
      </w:r>
      <w:r>
        <w:rPr>
          <w:rFonts w:hint="eastAsia" w:ascii="仿宋_GB2312" w:hAnsi="仿宋_GB2312" w:eastAsia="仿宋_GB2312" w:cs="仿宋_GB2312"/>
          <w:color w:val="000000" w:themeColor="text1"/>
          <w:sz w:val="32"/>
          <w:szCs w:val="40"/>
          <w:highlight w:val="none"/>
          <w:u w:val="none"/>
          <w:shd w:val="clear" w:color="auto" w:fill="auto"/>
          <w14:textFill>
            <w14:solidFill>
              <w14:schemeClr w14:val="tx1"/>
            </w14:solidFill>
          </w14:textFill>
        </w:rPr>
        <w:t>行股份购买资产、公司债、可转债和可分离债等）</w:t>
      </w:r>
      <w:r>
        <w:rPr>
          <w:rFonts w:hint="eastAsia" w:ascii="仿宋_GB2312" w:hAnsi="仿宋_GB2312" w:eastAsia="仿宋_GB2312" w:cs="仿宋_GB2312"/>
          <w:color w:val="000000" w:themeColor="text1"/>
          <w:sz w:val="32"/>
          <w:szCs w:val="40"/>
          <w:highlight w:val="none"/>
          <w:u w:val="none"/>
          <w:shd w:val="clear" w:color="auto" w:fill="auto"/>
          <w:lang w:eastAsia="zh-CN"/>
          <w14:textFill>
            <w14:solidFill>
              <w14:schemeClr w14:val="tx1"/>
            </w14:solidFill>
          </w14:textFill>
        </w:rPr>
        <w:t>投入本地项目</w:t>
      </w:r>
      <w:r>
        <w:rPr>
          <w:rFonts w:hint="eastAsia" w:ascii="仿宋_GB2312" w:hAnsi="仿宋_GB2312" w:eastAsia="仿宋_GB2312" w:cs="仿宋_GB2312"/>
          <w:color w:val="000000" w:themeColor="text1"/>
          <w:sz w:val="32"/>
          <w:szCs w:val="40"/>
          <w:highlight w:val="none"/>
          <w:u w:val="none"/>
          <w:shd w:val="clear" w:color="auto" w:fill="auto"/>
          <w14:textFill>
            <w14:solidFill>
              <w14:schemeClr w14:val="tx1"/>
            </w14:solidFill>
          </w14:textFill>
        </w:rPr>
        <w:t>，按实际投资额的0.3%给予融资成本补助，</w:t>
      </w:r>
      <w:r>
        <w:rPr>
          <w:rFonts w:hint="eastAsia" w:ascii="仿宋_GB2312" w:hAnsi="仿宋_GB2312" w:eastAsia="仿宋_GB2312" w:cs="仿宋_GB2312"/>
          <w:color w:val="000000" w:themeColor="text1"/>
          <w:sz w:val="32"/>
          <w:szCs w:val="40"/>
          <w:highlight w:val="none"/>
          <w:u w:val="none"/>
          <w:shd w:val="clear" w:color="auto" w:fill="auto"/>
          <w:lang w:eastAsia="zh-CN"/>
          <w14:textFill>
            <w14:solidFill>
              <w14:schemeClr w14:val="tx1"/>
            </w14:solidFill>
          </w14:textFill>
        </w:rPr>
        <w:t>总额</w:t>
      </w:r>
      <w:r>
        <w:rPr>
          <w:rFonts w:hint="eastAsia" w:ascii="仿宋_GB2312" w:hAnsi="仿宋_GB2312" w:eastAsia="仿宋_GB2312" w:cs="仿宋_GB2312"/>
          <w:color w:val="000000" w:themeColor="text1"/>
          <w:sz w:val="32"/>
          <w:szCs w:val="40"/>
          <w:highlight w:val="none"/>
          <w:u w:val="none"/>
          <w:shd w:val="clear" w:color="auto" w:fill="auto"/>
          <w14:textFill>
            <w14:solidFill>
              <w14:schemeClr w14:val="tx1"/>
            </w14:solidFill>
          </w14:textFill>
        </w:rPr>
        <w:t>不超过</w:t>
      </w:r>
      <w:r>
        <w:rPr>
          <w:rFonts w:hint="eastAsia" w:ascii="仿宋_GB2312" w:hAnsi="仿宋_GB2312" w:eastAsia="仿宋_GB2312" w:cs="仿宋_GB2312"/>
          <w:color w:val="000000" w:themeColor="text1"/>
          <w:sz w:val="32"/>
          <w:szCs w:val="40"/>
          <w:highlight w:val="none"/>
          <w:u w:val="none"/>
          <w:shd w:val="clear" w:color="auto" w:fill="auto"/>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40"/>
          <w:highlight w:val="none"/>
          <w:u w:val="none"/>
          <w:shd w:val="clear" w:color="auto" w:fill="auto"/>
          <w14:textFill>
            <w14:solidFill>
              <w14:schemeClr w14:val="tx1"/>
            </w14:solidFill>
          </w14:textFill>
        </w:rPr>
        <w:t>00万元。</w:t>
      </w:r>
    </w:p>
    <w:p>
      <w:pPr>
        <w:keepNext w:val="0"/>
        <w:keepLines w:val="0"/>
        <w:pageBreakBefore w:val="0"/>
        <w:widowControl w:val="0"/>
        <w:tabs>
          <w:tab w:val="left" w:pos="911"/>
        </w:tabs>
        <w:kinsoku/>
        <w:wordWrap/>
        <w:overflowPunct/>
        <w:topLinePunct w:val="0"/>
        <w:autoSpaceDE/>
        <w:autoSpaceDN/>
        <w:bidi w:val="0"/>
        <w:adjustRightInd/>
        <w:snapToGrid/>
        <w:spacing w:line="520" w:lineRule="exact"/>
        <w:ind w:left="0" w:leftChars="0" w:firstLine="640"/>
        <w:jc w:val="both"/>
        <w:textAlignment w:val="auto"/>
        <w:rPr>
          <w:rFonts w:hint="eastAsia" w:ascii="仿宋_GB2312" w:hAnsi="仿宋_GB2312" w:eastAsia="仿宋_GB2312" w:cs="仿宋_GB2312"/>
          <w:color w:val="000000" w:themeColor="text1"/>
          <w:sz w:val="32"/>
          <w:szCs w:val="40"/>
          <w:u w:val="none"/>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40"/>
          <w:u w:val="none"/>
          <w:shd w:val="clear" w:color="auto" w:fill="auto"/>
          <w:lang w:eastAsia="zh-CN"/>
          <w14:textFill>
            <w14:solidFill>
              <w14:schemeClr w14:val="tx1"/>
            </w14:solidFill>
          </w14:textFill>
        </w:rPr>
        <w:t>（十一）</w:t>
      </w:r>
      <w:r>
        <w:rPr>
          <w:rFonts w:hint="eastAsia" w:ascii="仿宋_GB2312" w:hAnsi="仿宋_GB2312" w:eastAsia="仿宋_GB2312" w:cs="仿宋_GB2312"/>
          <w:color w:val="000000" w:themeColor="text1"/>
          <w:sz w:val="32"/>
          <w:szCs w:val="40"/>
          <w:u w:val="none"/>
          <w:shd w:val="clear" w:color="auto" w:fill="auto"/>
          <w14:textFill>
            <w14:solidFill>
              <w14:schemeClr w14:val="tx1"/>
            </w14:solidFill>
          </w14:textFill>
        </w:rPr>
        <w:t>上市公司对外开展并购重组并达到证监会规定的重大资产重组标准的，完成后给予300万元</w:t>
      </w:r>
      <w:r>
        <w:rPr>
          <w:rFonts w:hint="eastAsia" w:ascii="仿宋_GB2312" w:hAnsi="仿宋_GB2312" w:eastAsia="仿宋_GB2312" w:cs="仿宋_GB2312"/>
          <w:color w:val="000000" w:themeColor="text1"/>
          <w:sz w:val="32"/>
          <w:szCs w:val="40"/>
          <w:u w:val="none"/>
          <w:shd w:val="clear" w:color="auto" w:fill="auto"/>
          <w:lang w:eastAsia="zh-CN"/>
          <w14:textFill>
            <w14:solidFill>
              <w14:schemeClr w14:val="tx1"/>
            </w14:solidFill>
          </w14:textFill>
        </w:rPr>
        <w:t>补助</w:t>
      </w:r>
      <w:r>
        <w:rPr>
          <w:rFonts w:hint="eastAsia" w:ascii="仿宋_GB2312" w:hAnsi="仿宋_GB2312" w:eastAsia="仿宋_GB2312" w:cs="仿宋_GB2312"/>
          <w:color w:val="000000" w:themeColor="text1"/>
          <w:sz w:val="32"/>
          <w:szCs w:val="40"/>
          <w:u w:val="none"/>
          <w:shd w:val="clear" w:color="auto" w:fill="auto"/>
          <w14:textFill>
            <w14:solidFill>
              <w14:schemeClr w14:val="tx1"/>
            </w14:solidFill>
          </w14:textFill>
        </w:rPr>
        <w:t>。涉及发行股份收购资产方式重组的与再融资补助不重复享受。</w:t>
      </w:r>
    </w:p>
    <w:p>
      <w:pPr>
        <w:keepNext w:val="0"/>
        <w:keepLines w:val="0"/>
        <w:pageBreakBefore w:val="0"/>
        <w:widowControl w:val="0"/>
        <w:tabs>
          <w:tab w:val="left" w:pos="911"/>
        </w:tabs>
        <w:kinsoku/>
        <w:wordWrap/>
        <w:overflowPunct/>
        <w:topLinePunct w:val="0"/>
        <w:autoSpaceDE/>
        <w:autoSpaceDN/>
        <w:bidi w:val="0"/>
        <w:adjustRightInd/>
        <w:snapToGrid/>
        <w:spacing w:line="520" w:lineRule="exact"/>
        <w:ind w:left="0" w:leftChars="0" w:firstLine="640"/>
        <w:jc w:val="both"/>
        <w:textAlignment w:val="auto"/>
        <w:rPr>
          <w:rFonts w:hint="eastAsia" w:ascii="仿宋_GB2312" w:hAnsi="仿宋_GB2312" w:eastAsia="仿宋_GB2312" w:cs="仿宋_GB2312"/>
          <w:color w:val="000000" w:themeColor="text1"/>
          <w:sz w:val="32"/>
          <w:szCs w:val="40"/>
          <w:u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40"/>
          <w:u w:val="none"/>
          <w:shd w:val="clear" w:color="auto" w:fill="auto"/>
          <w14:textFill>
            <w14:solidFill>
              <w14:schemeClr w14:val="tx1"/>
            </w14:solidFill>
          </w14:textFill>
        </w:rPr>
        <w:t>（</w:t>
      </w:r>
      <w:r>
        <w:rPr>
          <w:rFonts w:hint="eastAsia" w:ascii="仿宋_GB2312" w:hAnsi="仿宋_GB2312" w:eastAsia="仿宋_GB2312" w:cs="仿宋_GB2312"/>
          <w:color w:val="000000" w:themeColor="text1"/>
          <w:sz w:val="32"/>
          <w:szCs w:val="40"/>
          <w:u w:val="none"/>
          <w:shd w:val="clear" w:color="auto" w:fill="auto"/>
          <w:lang w:eastAsia="zh-CN"/>
          <w14:textFill>
            <w14:solidFill>
              <w14:schemeClr w14:val="tx1"/>
            </w14:solidFill>
          </w14:textFill>
        </w:rPr>
        <w:t>十二</w:t>
      </w:r>
      <w:r>
        <w:rPr>
          <w:rFonts w:hint="eastAsia" w:ascii="仿宋_GB2312" w:hAnsi="仿宋_GB2312" w:eastAsia="仿宋_GB2312" w:cs="仿宋_GB2312"/>
          <w:color w:val="000000" w:themeColor="text1"/>
          <w:sz w:val="32"/>
          <w:szCs w:val="40"/>
          <w:u w:val="none"/>
          <w:shd w:val="clear" w:color="auto" w:fill="auto"/>
          <w14:textFill>
            <w14:solidFill>
              <w14:schemeClr w14:val="tx1"/>
            </w14:solidFill>
          </w14:textFill>
        </w:rPr>
        <w:t>）</w:t>
      </w:r>
      <w:r>
        <w:rPr>
          <w:rFonts w:hint="eastAsia" w:ascii="仿宋_GB2312" w:hAnsi="仿宋_GB2312" w:eastAsia="仿宋_GB2312" w:cs="仿宋_GB2312"/>
          <w:color w:val="000000" w:themeColor="text1"/>
          <w:sz w:val="32"/>
          <w:szCs w:val="40"/>
          <w:u w:val="none"/>
          <w:shd w:val="clear" w:color="auto" w:fill="auto"/>
          <w:lang w:eastAsia="zh-CN"/>
          <w14:textFill>
            <w14:solidFill>
              <w14:schemeClr w14:val="tx1"/>
            </w14:solidFill>
          </w14:textFill>
        </w:rPr>
        <w:t>对符合条件的台州双创苗圃板挂牌企业给予最高不超过</w:t>
      </w:r>
      <w:r>
        <w:rPr>
          <w:rFonts w:hint="eastAsia" w:ascii="仿宋_GB2312" w:hAnsi="仿宋_GB2312" w:eastAsia="仿宋_GB2312" w:cs="仿宋_GB2312"/>
          <w:color w:val="000000" w:themeColor="text1"/>
          <w:sz w:val="32"/>
          <w:szCs w:val="40"/>
          <w:u w:val="none"/>
          <w:shd w:val="clear" w:color="auto" w:fill="auto"/>
          <w:lang w:val="en-US" w:eastAsia="zh-CN"/>
          <w14:textFill>
            <w14:solidFill>
              <w14:schemeClr w14:val="tx1"/>
            </w14:solidFill>
          </w14:textFill>
        </w:rPr>
        <w:t>1000万元的专项担保额度，担保总额在500万元（含）以下的免收担保费用，在500万元以上的减免一半担保费用。</w:t>
      </w:r>
    </w:p>
    <w:p>
      <w:pPr>
        <w:keepNext w:val="0"/>
        <w:keepLines w:val="0"/>
        <w:pageBreakBefore w:val="0"/>
        <w:widowControl w:val="0"/>
        <w:tabs>
          <w:tab w:val="left" w:pos="911"/>
        </w:tabs>
        <w:kinsoku/>
        <w:wordWrap/>
        <w:overflowPunct/>
        <w:topLinePunct w:val="0"/>
        <w:autoSpaceDE/>
        <w:autoSpaceDN/>
        <w:bidi w:val="0"/>
        <w:adjustRightInd/>
        <w:snapToGrid/>
        <w:spacing w:line="520" w:lineRule="exact"/>
        <w:ind w:left="0" w:leftChars="0" w:firstLine="640"/>
        <w:jc w:val="both"/>
        <w:textAlignment w:val="auto"/>
        <w:rPr>
          <w:rFonts w:ascii="黑体" w:hAnsi="黑体" w:eastAsia="黑体" w:cs="黑体"/>
          <w:color w:val="000000" w:themeColor="text1"/>
          <w:u w:val="none"/>
          <w:shd w:val="clear" w:color="auto" w:fill="auto"/>
          <w14:textFill>
            <w14:solidFill>
              <w14:schemeClr w14:val="tx1"/>
            </w14:solidFill>
          </w14:textFill>
        </w:rPr>
      </w:pPr>
      <w:r>
        <w:rPr>
          <w:rFonts w:hint="eastAsia" w:ascii="黑体" w:hAnsi="黑体" w:eastAsia="黑体" w:cs="黑体"/>
          <w:color w:val="000000" w:themeColor="text1"/>
          <w:sz w:val="32"/>
          <w:szCs w:val="40"/>
          <w:u w:val="none"/>
          <w:shd w:val="clear" w:color="auto" w:fill="auto"/>
          <w14:textFill>
            <w14:solidFill>
              <w14:schemeClr w14:val="tx1"/>
            </w14:solidFill>
          </w14:textFill>
        </w:rPr>
        <w:t>四、强化保障措施，助力轻装上阵</w:t>
      </w:r>
    </w:p>
    <w:p>
      <w:pPr>
        <w:keepNext w:val="0"/>
        <w:keepLines w:val="0"/>
        <w:pageBreakBefore w:val="0"/>
        <w:widowControl w:val="0"/>
        <w:tabs>
          <w:tab w:val="left" w:pos="778"/>
        </w:tabs>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color w:val="000000" w:themeColor="text1"/>
          <w:sz w:val="32"/>
          <w:szCs w:val="40"/>
          <w:u w:val="none"/>
          <w:shd w:val="clear" w:color="auto" w:fill="auto"/>
          <w:lang w:eastAsia="zh-CN"/>
          <w14:textFill>
            <w14:solidFill>
              <w14:schemeClr w14:val="tx1"/>
            </w14:solidFill>
          </w14:textFill>
        </w:rPr>
      </w:pPr>
      <w:r>
        <w:rPr>
          <w:rFonts w:hint="eastAsia" w:ascii="仿宋_GB2312" w:hAnsi="仿宋_GB2312" w:eastAsia="仿宋_GB2312" w:cs="仿宋_GB2312"/>
          <w:color w:val="000000" w:themeColor="text1"/>
          <w:sz w:val="32"/>
          <w:szCs w:val="40"/>
          <w:u w:val="none"/>
          <w:shd w:val="clear" w:color="auto" w:fill="auto"/>
          <w14:textFill>
            <w14:solidFill>
              <w14:schemeClr w14:val="tx1"/>
            </w14:solidFill>
          </w14:textFill>
        </w:rPr>
        <w:t>（</w:t>
      </w:r>
      <w:r>
        <w:rPr>
          <w:rFonts w:hint="eastAsia" w:ascii="仿宋_GB2312" w:hAnsi="仿宋_GB2312" w:eastAsia="仿宋_GB2312" w:cs="仿宋_GB2312"/>
          <w:color w:val="000000" w:themeColor="text1"/>
          <w:sz w:val="32"/>
          <w:szCs w:val="40"/>
          <w:u w:val="none"/>
          <w:shd w:val="clear" w:color="auto" w:fill="auto"/>
          <w:lang w:eastAsia="zh-CN"/>
          <w14:textFill>
            <w14:solidFill>
              <w14:schemeClr w14:val="tx1"/>
            </w14:solidFill>
          </w14:textFill>
        </w:rPr>
        <w:t>十三</w:t>
      </w:r>
      <w:r>
        <w:rPr>
          <w:rFonts w:hint="eastAsia" w:ascii="仿宋_GB2312" w:hAnsi="仿宋_GB2312" w:eastAsia="仿宋_GB2312" w:cs="仿宋_GB2312"/>
          <w:color w:val="000000" w:themeColor="text1"/>
          <w:sz w:val="32"/>
          <w:szCs w:val="40"/>
          <w:u w:val="none"/>
          <w:shd w:val="clear" w:color="auto" w:fill="auto"/>
          <w14:textFill>
            <w14:solidFill>
              <w14:schemeClr w14:val="tx1"/>
            </w14:solidFill>
          </w14:textFill>
        </w:rPr>
        <w:t>）</w:t>
      </w:r>
      <w:r>
        <w:rPr>
          <w:rFonts w:hint="eastAsia" w:ascii="仿宋_GB2312" w:hAnsi="仿宋_GB2312" w:eastAsia="仿宋_GB2312" w:cs="仿宋_GB2312"/>
          <w:color w:val="000000" w:themeColor="text1"/>
          <w:sz w:val="32"/>
          <w:szCs w:val="40"/>
          <w:u w:val="none"/>
          <w:shd w:val="clear" w:color="auto" w:fill="auto"/>
          <w:lang w:eastAsia="zh-CN"/>
          <w14:textFill>
            <w14:solidFill>
              <w14:schemeClr w14:val="tx1"/>
            </w14:solidFill>
          </w14:textFill>
        </w:rPr>
        <w:t>强化企业上市组织领导。</w:t>
      </w:r>
      <w:r>
        <w:rPr>
          <w:rFonts w:hint="eastAsia" w:ascii="仿宋_GB2312" w:hAnsi="仿宋_GB2312" w:eastAsia="仿宋_GB2312" w:cs="仿宋_GB2312"/>
          <w:color w:val="000000" w:themeColor="text1"/>
          <w:sz w:val="32"/>
          <w:szCs w:val="40"/>
          <w:u w:val="none"/>
          <w:shd w:val="clear" w:color="auto" w:fill="auto"/>
          <w14:textFill>
            <w14:solidFill>
              <w14:schemeClr w14:val="tx1"/>
            </w14:solidFill>
          </w14:textFill>
        </w:rPr>
        <w:t>完善以县党政主要领导为组长的上市工作领导小组，</w:t>
      </w:r>
      <w:r>
        <w:rPr>
          <w:rFonts w:hint="eastAsia" w:ascii="仿宋_GB2312" w:hAnsi="仿宋_GB2312" w:eastAsia="仿宋_GB2312" w:cs="仿宋_GB2312"/>
          <w:color w:val="000000" w:themeColor="text1"/>
          <w:sz w:val="32"/>
          <w:szCs w:val="40"/>
          <w:u w:val="none"/>
          <w:shd w:val="clear" w:color="auto" w:fill="auto"/>
          <w:lang w:eastAsia="zh-CN"/>
          <w14:textFill>
            <w14:solidFill>
              <w14:schemeClr w14:val="tx1"/>
            </w14:solidFill>
          </w14:textFill>
        </w:rPr>
        <w:t>深化县领导联系指导上市、拟上市企业常态化工作机制，加快推进企业上市过程问题难题协调解决。发挥部门间工作协同，落实行业主管部门后备企业培育负责制。</w:t>
      </w:r>
    </w:p>
    <w:p>
      <w:pPr>
        <w:keepNext w:val="0"/>
        <w:keepLines w:val="0"/>
        <w:pageBreakBefore w:val="0"/>
        <w:widowControl w:val="0"/>
        <w:tabs>
          <w:tab w:val="left" w:pos="778"/>
        </w:tabs>
        <w:kinsoku/>
        <w:wordWrap/>
        <w:overflowPunct/>
        <w:topLinePunct w:val="0"/>
        <w:autoSpaceDE/>
        <w:autoSpaceDN/>
        <w:bidi w:val="0"/>
        <w:adjustRightInd/>
        <w:snapToGrid/>
        <w:spacing w:line="520" w:lineRule="exact"/>
        <w:ind w:left="0" w:leftChars="0" w:firstLine="640" w:firstLineChars="200"/>
        <w:jc w:val="left"/>
        <w:textAlignment w:val="auto"/>
        <w:rPr>
          <w:rFonts w:hint="default" w:ascii="仿宋_GB2312" w:hAnsi="仿宋_GB2312" w:eastAsia="仿宋_GB2312" w:cs="仿宋_GB2312"/>
          <w:color w:val="000000" w:themeColor="text1"/>
          <w:sz w:val="32"/>
          <w:szCs w:val="40"/>
          <w:u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40"/>
          <w:u w:val="none"/>
          <w:shd w:val="clear" w:color="auto" w:fill="auto"/>
          <w:lang w:eastAsia="zh-CN"/>
          <w14:textFill>
            <w14:solidFill>
              <w14:schemeClr w14:val="tx1"/>
            </w14:solidFill>
          </w14:textFill>
        </w:rPr>
        <w:t>（十四）推进上市人才队伍建设。加强交易所、中介机构对接合作，丰富开展资本市场业务培训和信息交流，提升企业高管团队业务素质。对在上市公司连续任职满三年的</w:t>
      </w:r>
      <w:r>
        <w:rPr>
          <w:rFonts w:hint="eastAsia" w:ascii="仿宋_GB2312" w:hAnsi="仿宋_GB2312" w:eastAsia="仿宋_GB2312" w:cs="仿宋_GB2312"/>
          <w:color w:val="000000" w:themeColor="text1"/>
          <w:sz w:val="32"/>
          <w:szCs w:val="40"/>
          <w:u w:val="none"/>
          <w:shd w:val="clear" w:color="auto" w:fill="auto"/>
          <w:lang w:val="en-US" w:eastAsia="zh-CN"/>
          <w14:textFill>
            <w14:solidFill>
              <w14:schemeClr w14:val="tx1"/>
            </w14:solidFill>
          </w14:textFill>
        </w:rPr>
        <w:t>董秘、财务总监等，经认定后享受相应人才政策待遇。</w:t>
      </w:r>
    </w:p>
    <w:p>
      <w:pPr>
        <w:keepNext w:val="0"/>
        <w:keepLines w:val="0"/>
        <w:pageBreakBefore w:val="0"/>
        <w:widowControl w:val="0"/>
        <w:tabs>
          <w:tab w:val="left" w:pos="778"/>
        </w:tabs>
        <w:kinsoku/>
        <w:wordWrap/>
        <w:overflowPunct/>
        <w:topLinePunct w:val="0"/>
        <w:autoSpaceDE/>
        <w:autoSpaceDN/>
        <w:bidi w:val="0"/>
        <w:adjustRightInd/>
        <w:snapToGrid/>
        <w:spacing w:line="520" w:lineRule="exact"/>
        <w:ind w:left="0" w:leftChars="0" w:firstLine="640" w:firstLineChars="200"/>
        <w:jc w:val="both"/>
        <w:textAlignment w:val="auto"/>
        <w:rPr>
          <w:rFonts w:eastAsia="仿宋_GB2312"/>
          <w:color w:val="000000" w:themeColor="text1"/>
          <w:highlight w:val="none"/>
          <w:u w:val="none"/>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40"/>
          <w:u w:val="none"/>
          <w:shd w:val="clear" w:color="auto" w:fill="auto"/>
          <w14:textFill>
            <w14:solidFill>
              <w14:schemeClr w14:val="tx1"/>
            </w14:solidFill>
          </w14:textFill>
        </w:rPr>
        <w:t>（</w:t>
      </w:r>
      <w:r>
        <w:rPr>
          <w:rFonts w:hint="eastAsia" w:ascii="仿宋_GB2312" w:hAnsi="仿宋_GB2312" w:eastAsia="仿宋_GB2312" w:cs="仿宋_GB2312"/>
          <w:color w:val="000000" w:themeColor="text1"/>
          <w:sz w:val="32"/>
          <w:szCs w:val="40"/>
          <w:u w:val="none"/>
          <w:shd w:val="clear" w:color="auto" w:fill="auto"/>
          <w:lang w:eastAsia="zh-CN"/>
          <w14:textFill>
            <w14:solidFill>
              <w14:schemeClr w14:val="tx1"/>
            </w14:solidFill>
          </w14:textFill>
        </w:rPr>
        <w:t>十五</w:t>
      </w:r>
      <w:r>
        <w:rPr>
          <w:rFonts w:hint="eastAsia" w:ascii="仿宋_GB2312" w:hAnsi="仿宋_GB2312" w:eastAsia="仿宋_GB2312" w:cs="仿宋_GB2312"/>
          <w:color w:val="000000" w:themeColor="text1"/>
          <w:sz w:val="32"/>
          <w:szCs w:val="40"/>
          <w:u w:val="none"/>
          <w:shd w:val="clear" w:color="auto" w:fill="auto"/>
          <w14:textFill>
            <w14:solidFill>
              <w14:schemeClr w14:val="tx1"/>
            </w14:solidFill>
          </w14:textFill>
        </w:rPr>
        <w:t>）</w:t>
      </w:r>
      <w:r>
        <w:rPr>
          <w:rFonts w:hint="eastAsia" w:ascii="仿宋_GB2312" w:hAnsi="仿宋_GB2312" w:eastAsia="仿宋_GB2312" w:cs="仿宋_GB2312"/>
          <w:color w:val="000000" w:themeColor="text1"/>
          <w:sz w:val="32"/>
          <w:szCs w:val="40"/>
          <w:u w:val="none"/>
          <w:shd w:val="clear" w:color="auto" w:fill="auto"/>
          <w:lang w:eastAsia="zh-CN"/>
          <w14:textFill>
            <w14:solidFill>
              <w14:schemeClr w14:val="tx1"/>
            </w14:solidFill>
          </w14:textFill>
        </w:rPr>
        <w:t>突出</w:t>
      </w:r>
      <w:r>
        <w:rPr>
          <w:rFonts w:hint="eastAsia" w:ascii="仿宋_GB2312" w:hAnsi="仿宋_GB2312" w:eastAsia="仿宋_GB2312" w:cs="仿宋_GB2312"/>
          <w:color w:val="000000" w:themeColor="text1"/>
          <w:sz w:val="32"/>
          <w:szCs w:val="40"/>
          <w:u w:val="none"/>
          <w:shd w:val="clear" w:color="auto" w:fill="auto"/>
          <w14:textFill>
            <w14:solidFill>
              <w14:schemeClr w14:val="tx1"/>
            </w14:solidFill>
          </w14:textFill>
        </w:rPr>
        <w:t>企业</w:t>
      </w:r>
      <w:r>
        <w:rPr>
          <w:rFonts w:hint="eastAsia" w:ascii="仿宋_GB2312" w:hAnsi="仿宋_GB2312" w:eastAsia="仿宋_GB2312" w:cs="仿宋_GB2312"/>
          <w:color w:val="000000" w:themeColor="text1"/>
          <w:sz w:val="32"/>
          <w:szCs w:val="40"/>
          <w:u w:val="none"/>
          <w:shd w:val="clear" w:color="auto" w:fill="auto"/>
          <w:lang w:eastAsia="zh-CN"/>
          <w14:textFill>
            <w14:solidFill>
              <w14:schemeClr w14:val="tx1"/>
            </w14:solidFill>
          </w14:textFill>
        </w:rPr>
        <w:t>上市</w:t>
      </w:r>
      <w:r>
        <w:rPr>
          <w:rFonts w:hint="eastAsia" w:ascii="仿宋_GB2312" w:hAnsi="仿宋_GB2312" w:eastAsia="仿宋_GB2312" w:cs="仿宋_GB2312"/>
          <w:color w:val="000000" w:themeColor="text1"/>
          <w:sz w:val="32"/>
          <w:szCs w:val="40"/>
          <w:u w:val="none"/>
          <w:shd w:val="clear" w:color="auto" w:fill="auto"/>
          <w14:textFill>
            <w14:solidFill>
              <w14:schemeClr w14:val="tx1"/>
            </w14:solidFill>
          </w14:textFill>
        </w:rPr>
        <w:t>要素保障。</w:t>
      </w:r>
      <w:r>
        <w:rPr>
          <w:rFonts w:hint="eastAsia" w:ascii="仿宋_GB2312" w:hAnsi="仿宋_GB2312" w:eastAsia="仿宋_GB2312" w:cs="仿宋_GB2312"/>
          <w:color w:val="000000" w:themeColor="text1"/>
          <w:sz w:val="32"/>
          <w:szCs w:val="40"/>
          <w:u w:val="none"/>
          <w:shd w:val="clear" w:color="auto" w:fill="auto"/>
          <w:lang w:eastAsia="zh-CN"/>
          <w14:textFill>
            <w14:solidFill>
              <w14:schemeClr w14:val="tx1"/>
            </w14:solidFill>
          </w14:textFill>
        </w:rPr>
        <w:t>对上市公司、拟上市企业</w:t>
      </w:r>
      <w:r>
        <w:rPr>
          <w:rFonts w:hint="eastAsia" w:ascii="仿宋_GB2312" w:hAnsi="仿宋_GB2312" w:eastAsia="仿宋_GB2312" w:cs="仿宋_GB2312"/>
          <w:color w:val="000000" w:themeColor="text1"/>
          <w:sz w:val="32"/>
          <w:szCs w:val="40"/>
          <w:u w:val="none"/>
          <w:shd w:val="clear" w:color="auto" w:fill="auto"/>
          <w14:textFill>
            <w14:solidFill>
              <w14:schemeClr w14:val="tx1"/>
            </w14:solidFill>
          </w14:textFill>
        </w:rPr>
        <w:t>所需用地、用能和环保容量指标</w:t>
      </w:r>
      <w:r>
        <w:rPr>
          <w:rFonts w:hint="eastAsia" w:ascii="仿宋_GB2312" w:hAnsi="仿宋_GB2312" w:eastAsia="仿宋_GB2312" w:cs="仿宋_GB2312"/>
          <w:color w:val="000000" w:themeColor="text1"/>
          <w:sz w:val="32"/>
          <w:szCs w:val="40"/>
          <w:u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40"/>
          <w:highlight w:val="none"/>
          <w:u w:val="none"/>
          <w:shd w:val="clear" w:color="auto" w:fill="auto"/>
          <w:lang w:val="en-US" w:eastAsia="zh-CN"/>
          <w14:textFill>
            <w14:solidFill>
              <w14:schemeClr w14:val="tx1"/>
            </w14:solidFill>
          </w14:textFill>
        </w:rPr>
        <w:t>给予资源倾斜和优先保障</w:t>
      </w:r>
      <w:r>
        <w:rPr>
          <w:rFonts w:hint="eastAsia" w:ascii="仿宋_GB2312" w:hAnsi="仿宋_GB2312" w:eastAsia="仿宋_GB2312" w:cs="仿宋_GB2312"/>
          <w:color w:val="000000" w:themeColor="text1"/>
          <w:sz w:val="32"/>
          <w:szCs w:val="40"/>
          <w:highlight w:val="none"/>
          <w:u w:val="none"/>
          <w:shd w:val="clear" w:color="auto" w:fill="auto"/>
          <w14:textFill>
            <w14:solidFill>
              <w14:schemeClr w14:val="tx1"/>
            </w14:solidFill>
          </w14:textFill>
        </w:rPr>
        <w:t>。</w:t>
      </w:r>
      <w:r>
        <w:rPr>
          <w:rFonts w:hint="eastAsia" w:ascii="仿宋_GB2312" w:hAnsi="仿宋_GB2312" w:eastAsia="仿宋_GB2312" w:cs="仿宋_GB2312"/>
          <w:color w:val="000000" w:themeColor="text1"/>
          <w:sz w:val="32"/>
          <w:szCs w:val="40"/>
          <w:highlight w:val="none"/>
          <w:u w:val="none"/>
          <w:shd w:val="clear" w:color="auto" w:fill="auto"/>
          <w:lang w:eastAsia="zh-CN"/>
          <w14:textFill>
            <w14:solidFill>
              <w14:schemeClr w14:val="tx1"/>
            </w14:solidFill>
          </w14:textFill>
        </w:rPr>
        <w:t>开展上市后备企业动态管理，深化</w:t>
      </w:r>
      <w:r>
        <w:rPr>
          <w:rFonts w:hint="eastAsia" w:ascii="仿宋_GB2312" w:hAnsi="仿宋_GB2312" w:eastAsia="仿宋_GB2312" w:cs="仿宋_GB2312"/>
          <w:color w:val="000000" w:themeColor="text1"/>
          <w:sz w:val="32"/>
          <w:szCs w:val="40"/>
          <w:highlight w:val="none"/>
          <w:u w:val="none"/>
          <w:shd w:val="clear" w:color="auto" w:fill="auto"/>
          <w14:textFill>
            <w14:solidFill>
              <w14:schemeClr w14:val="tx1"/>
            </w14:solidFill>
          </w14:textFill>
        </w:rPr>
        <w:t>上市赋能团</w:t>
      </w:r>
      <w:r>
        <w:rPr>
          <w:rFonts w:hint="eastAsia" w:ascii="仿宋_GB2312" w:hAnsi="仿宋_GB2312" w:eastAsia="仿宋_GB2312" w:cs="仿宋_GB2312"/>
          <w:color w:val="000000" w:themeColor="text1"/>
          <w:sz w:val="32"/>
          <w:szCs w:val="40"/>
          <w:highlight w:val="none"/>
          <w:u w:val="none"/>
          <w:shd w:val="clear" w:color="auto" w:fill="auto"/>
          <w:lang w:eastAsia="zh-CN"/>
          <w14:textFill>
            <w14:solidFill>
              <w14:schemeClr w14:val="tx1"/>
            </w14:solidFill>
          </w14:textFill>
        </w:rPr>
        <w:t>、上市工作专班、上市一件事集成办理等工作机制</w:t>
      </w:r>
      <w:r>
        <w:rPr>
          <w:rFonts w:hint="eastAsia" w:ascii="仿宋_GB2312" w:hAnsi="仿宋_GB2312" w:eastAsia="仿宋_GB2312" w:cs="仿宋_GB2312"/>
          <w:color w:val="000000" w:themeColor="text1"/>
          <w:sz w:val="32"/>
          <w:szCs w:val="40"/>
          <w:highlight w:val="none"/>
          <w:u w:val="none"/>
          <w:shd w:val="clear" w:color="auto" w:fill="auto"/>
          <w14:textFill>
            <w14:solidFill>
              <w14:schemeClr w14:val="tx1"/>
            </w14:solidFill>
          </w14:textFill>
        </w:rPr>
        <w:t>，</w:t>
      </w:r>
      <w:r>
        <w:rPr>
          <w:rFonts w:hint="eastAsia" w:ascii="仿宋_GB2312" w:hAnsi="仿宋_GB2312" w:eastAsia="仿宋_GB2312" w:cs="仿宋_GB2312"/>
          <w:color w:val="000000" w:themeColor="text1"/>
          <w:sz w:val="32"/>
          <w:szCs w:val="40"/>
          <w:highlight w:val="none"/>
          <w:u w:val="none"/>
          <w:shd w:val="clear" w:color="auto" w:fill="auto"/>
          <w:lang w:eastAsia="zh-CN"/>
          <w14:textFill>
            <w14:solidFill>
              <w14:schemeClr w14:val="tx1"/>
            </w14:solidFill>
          </w14:textFill>
        </w:rPr>
        <w:t>发挥部门、中介机构联动作用，积极参与企业上市纾困帮扶</w:t>
      </w:r>
      <w:r>
        <w:rPr>
          <w:rFonts w:hint="eastAsia" w:ascii="仿宋_GB2312" w:hAnsi="仿宋_GB2312" w:eastAsia="仿宋_GB2312" w:cs="仿宋_GB2312"/>
          <w:color w:val="000000" w:themeColor="text1"/>
          <w:sz w:val="32"/>
          <w:szCs w:val="40"/>
          <w:highlight w:val="none"/>
          <w:u w:val="none"/>
          <w:shd w:val="clear" w:color="auto" w:fill="auto"/>
          <w14:textFill>
            <w14:solidFill>
              <w14:schemeClr w14:val="tx1"/>
            </w14:solidFill>
          </w14:textFill>
        </w:rPr>
        <w:t>。</w:t>
      </w:r>
    </w:p>
    <w:p>
      <w:pPr>
        <w:pStyle w:val="4"/>
        <w:keepNext w:val="0"/>
        <w:keepLines w:val="0"/>
        <w:pageBreakBefore w:val="0"/>
        <w:widowControl w:val="0"/>
        <w:kinsoku/>
        <w:wordWrap/>
        <w:overflowPunct/>
        <w:topLinePunct w:val="0"/>
        <w:autoSpaceDE/>
        <w:autoSpaceDN/>
        <w:bidi w:val="0"/>
        <w:adjustRightInd/>
        <w:snapToGrid/>
        <w:spacing w:after="0" w:line="520" w:lineRule="exact"/>
        <w:ind w:left="0" w:leftChars="0" w:firstLine="672" w:firstLineChars="200"/>
        <w:jc w:val="both"/>
        <w:textAlignment w:val="auto"/>
        <w:rPr>
          <w:rFonts w:hint="eastAsia" w:ascii="楷体" w:hAnsi="楷体" w:eastAsia="仿宋_GB2312" w:cs="楷体"/>
          <w:color w:val="000000" w:themeColor="text1"/>
          <w:sz w:val="32"/>
          <w:szCs w:val="40"/>
          <w:highlight w:val="none"/>
          <w:u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pacing w:val="8"/>
          <w:sz w:val="32"/>
          <w:szCs w:val="32"/>
          <w:highlight w:val="none"/>
          <w:u w:val="none"/>
          <w:shd w:val="clear" w:color="auto" w:fill="auto"/>
          <w:lang w:val="en-US" w:eastAsia="zh-CN"/>
          <w14:textFill>
            <w14:solidFill>
              <w14:schemeClr w14:val="tx1"/>
            </w14:solidFill>
          </w14:textFill>
        </w:rPr>
        <w:t>本政策自发布之日起施行，有效期三年。2022年1月1日起至本政策施行前符合本政策规定条件的，参照本政策执行，财政</w:t>
      </w:r>
      <w:r>
        <w:rPr>
          <w:rFonts w:hint="eastAsia" w:ascii="仿宋_GB2312" w:hAnsi="仿宋_GB2312" w:eastAsia="仿宋_GB2312" w:cs="仿宋_GB2312"/>
          <w:color w:val="000000" w:themeColor="text1"/>
          <w:sz w:val="32"/>
          <w:szCs w:val="40"/>
          <w:u w:val="none"/>
          <w:shd w:val="clear" w:color="auto" w:fill="auto"/>
          <w:lang w:eastAsia="zh-CN"/>
          <w14:textFill>
            <w14:solidFill>
              <w14:schemeClr w14:val="tx1"/>
            </w14:solidFill>
          </w14:textFill>
        </w:rPr>
        <w:t>补助资金</w:t>
      </w:r>
      <w:r>
        <w:rPr>
          <w:rFonts w:hint="eastAsia" w:ascii="仿宋_GB2312" w:hAnsi="仿宋_GB2312" w:eastAsia="仿宋_GB2312" w:cs="仿宋_GB2312"/>
          <w:color w:val="000000" w:themeColor="text1"/>
          <w:sz w:val="32"/>
          <w:szCs w:val="40"/>
          <w:u w:val="none"/>
          <w:shd w:val="clear" w:color="auto" w:fill="auto"/>
          <w14:textFill>
            <w14:solidFill>
              <w14:schemeClr w14:val="tx1"/>
            </w14:solidFill>
          </w14:textFill>
        </w:rPr>
        <w:t>不设限额</w:t>
      </w:r>
      <w:r>
        <w:rPr>
          <w:rFonts w:hint="eastAsia" w:ascii="仿宋_GB2312" w:hAnsi="仿宋_GB2312" w:eastAsia="仿宋_GB2312" w:cs="仿宋_GB2312"/>
          <w:color w:val="000000" w:themeColor="text1"/>
          <w:sz w:val="32"/>
          <w:szCs w:val="40"/>
          <w:u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40"/>
          <w:u w:val="none"/>
          <w:shd w:val="clear" w:color="auto" w:fill="auto"/>
          <w14:textFill>
            <w14:solidFill>
              <w14:schemeClr w14:val="tx1"/>
            </w14:solidFill>
          </w14:textFill>
        </w:rPr>
        <w:t>原《天台县人民政府办公室印发关于推进裂变跨越加快企业对接多层次资本市场步伐的若干意见的通知》（天政办发〔2017〕35号）、《天台县人民政府办公室关于推动裂变跨越加快企业对接多层次资本市场步伐的补充意见》（天政办函〔2020〕21号）同时废止。</w:t>
      </w:r>
      <w:r>
        <w:rPr>
          <w:rFonts w:hint="eastAsia" w:ascii="仿宋_GB2312" w:hAnsi="仿宋_GB2312" w:eastAsia="仿宋_GB2312" w:cs="仿宋_GB2312"/>
          <w:color w:val="000000" w:themeColor="text1"/>
          <w:sz w:val="32"/>
          <w:szCs w:val="40"/>
          <w:u w:val="none"/>
          <w:shd w:val="clear" w:color="auto" w:fill="auto"/>
          <w:lang w:eastAsia="zh-CN"/>
          <w14:textFill>
            <w14:solidFill>
              <w14:schemeClr w14:val="tx1"/>
            </w14:solidFill>
          </w14:textFill>
        </w:rPr>
        <w:t>本政策施行过程中如遇上级法律法规和相关政策重大调整，本政策也作相应调整。</w:t>
      </w:r>
    </w:p>
    <w:p>
      <w:pPr>
        <w:pStyle w:val="4"/>
        <w:keepNext w:val="0"/>
        <w:keepLines w:val="0"/>
        <w:pageBreakBefore w:val="0"/>
        <w:widowControl w:val="0"/>
        <w:kinsoku/>
        <w:wordWrap/>
        <w:overflowPunct/>
        <w:topLinePunct w:val="0"/>
        <w:autoSpaceDE/>
        <w:autoSpaceDN/>
        <w:bidi w:val="0"/>
        <w:adjustRightInd/>
        <w:snapToGrid/>
        <w:spacing w:after="0" w:line="520" w:lineRule="exact"/>
        <w:ind w:left="0" w:leftChars="0" w:firstLine="643"/>
        <w:jc w:val="both"/>
        <w:textAlignment w:val="auto"/>
        <w:rPr>
          <w:rFonts w:hint="eastAsia" w:ascii="仿宋_GB2312" w:hAnsi="仿宋_GB2312" w:eastAsia="仿宋_GB2312" w:cs="仿宋_GB2312"/>
          <w:b/>
          <w:bCs/>
          <w:color w:val="000000" w:themeColor="text1"/>
          <w:sz w:val="32"/>
          <w:szCs w:val="32"/>
          <w:u w:val="none"/>
          <w:shd w:val="clear" w:color="auto" w:fill="auto"/>
          <w14:textFill>
            <w14:solidFill>
              <w14:schemeClr w14:val="tx1"/>
            </w14:solidFill>
          </w14:textFill>
        </w:rPr>
      </w:pPr>
    </w:p>
    <w:p/>
    <w:sectPr>
      <w:headerReference r:id="rId3" w:type="default"/>
      <w:footerReference r:id="rId4" w:type="default"/>
      <w:pgSz w:w="11906" w:h="16838"/>
      <w:pgMar w:top="1984" w:right="1417"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posOffset>2743200</wp:posOffset>
              </wp:positionH>
              <wp:positionV relativeFrom="paragraph">
                <wp:posOffset>-250190</wp:posOffset>
              </wp:positionV>
              <wp:extent cx="334010" cy="1530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334010" cy="153035"/>
                      </a:xfrm>
                      <a:prstGeom prst="rect">
                        <a:avLst/>
                      </a:prstGeom>
                      <a:noFill/>
                      <a:ln>
                        <a:noFill/>
                      </a:ln>
                    </wps:spPr>
                    <wps:txbx>
                      <w:txbxContent>
                        <w:p>
                          <w:pPr>
                            <w:snapToGrid w:val="0"/>
                            <w:rPr>
                              <w:rFonts w:ascii="Times New Roman" w:hAnsi="Times New Roman"/>
                              <w:szCs w:val="21"/>
                            </w:rPr>
                          </w:pPr>
                          <w:r>
                            <w:rPr>
                              <w:rFonts w:ascii="Times New Roman" w:hAnsi="Times New Roman"/>
                              <w:szCs w:val="21"/>
                            </w:rPr>
                            <w:t>—</w:t>
                          </w:r>
                          <w:r>
                            <w:rPr>
                              <w:rFonts w:ascii="Times New Roman" w:hAnsi="Times New Roman"/>
                              <w:szCs w:val="21"/>
                            </w:rPr>
                            <w:fldChar w:fldCharType="begin"/>
                          </w:r>
                          <w:r>
                            <w:rPr>
                              <w:rFonts w:ascii="Times New Roman" w:hAnsi="Times New Roman"/>
                              <w:szCs w:val="21"/>
                            </w:rPr>
                            <w:instrText xml:space="preserve"> PAGE  \* MERGEFORMAT </w:instrText>
                          </w:r>
                          <w:r>
                            <w:rPr>
                              <w:rFonts w:ascii="Times New Roman" w:hAnsi="Times New Roman"/>
                              <w:szCs w:val="21"/>
                            </w:rPr>
                            <w:fldChar w:fldCharType="separate"/>
                          </w:r>
                          <w:r>
                            <w:rPr>
                              <w:rFonts w:ascii="Times New Roman" w:hAnsi="Times New Roman"/>
                              <w:szCs w:val="21"/>
                            </w:rPr>
                            <w:t>2</w:t>
                          </w:r>
                          <w:r>
                            <w:rPr>
                              <w:rFonts w:ascii="Times New Roman" w:hAnsi="Times New Roman"/>
                              <w:szCs w:val="21"/>
                            </w:rPr>
                            <w:fldChar w:fldCharType="end"/>
                          </w:r>
                          <w:r>
                            <w:rPr>
                              <w:rFonts w:ascii="Times New Roman" w:hAnsi="Times New Roman"/>
                              <w:szCs w:val="21"/>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left:216pt;margin-top:-19.7pt;height:12.05pt;width:26.3pt;mso-position-horizontal-relative:margin;mso-wrap-style:none;z-index:251659264;mso-width-relative:page;mso-height-relative:page;" filled="f" stroked="f" coordsize="21600,21600" o:gfxdata="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bK0lN2AAAAAsBAAAPAAAAAAAAAAEAIAAAACIAAABk&#10;cnMvZG93bnJldi54bWxQSwECFAAUAAAACACHTuJAeQvJbs0BAACXAwAADgAAAAAAAAABACAAAAAn&#10;AQAAZHJzL2Uyb0RvYy54bWxQSwUGAAAAAAYABgBZAQAAZgUAAAAA&#10;">
              <v:fill on="f" focussize="0,0"/>
              <v:stroke on="f"/>
              <v:imagedata o:title=""/>
              <o:lock v:ext="edit" aspectratio="f"/>
              <v:textbox inset="0mm,0mm,0mm,0mm" style="mso-fit-shape-to-text:t;">
                <w:txbxContent>
                  <w:p>
                    <w:pPr>
                      <w:snapToGrid w:val="0"/>
                      <w:rPr>
                        <w:rFonts w:ascii="Times New Roman" w:hAnsi="Times New Roman"/>
                        <w:szCs w:val="21"/>
                      </w:rPr>
                    </w:pPr>
                    <w:r>
                      <w:rPr>
                        <w:rFonts w:ascii="Times New Roman" w:hAnsi="Times New Roman"/>
                        <w:szCs w:val="21"/>
                      </w:rPr>
                      <w:t>—</w:t>
                    </w:r>
                    <w:r>
                      <w:rPr>
                        <w:rFonts w:ascii="Times New Roman" w:hAnsi="Times New Roman"/>
                        <w:szCs w:val="21"/>
                      </w:rPr>
                      <w:fldChar w:fldCharType="begin"/>
                    </w:r>
                    <w:r>
                      <w:rPr>
                        <w:rFonts w:ascii="Times New Roman" w:hAnsi="Times New Roman"/>
                        <w:szCs w:val="21"/>
                      </w:rPr>
                      <w:instrText xml:space="preserve"> PAGE  \* MERGEFORMAT </w:instrText>
                    </w:r>
                    <w:r>
                      <w:rPr>
                        <w:rFonts w:ascii="Times New Roman" w:hAnsi="Times New Roman"/>
                        <w:szCs w:val="21"/>
                      </w:rPr>
                      <w:fldChar w:fldCharType="separate"/>
                    </w:r>
                    <w:r>
                      <w:rPr>
                        <w:rFonts w:ascii="Times New Roman" w:hAnsi="Times New Roman"/>
                        <w:szCs w:val="21"/>
                      </w:rPr>
                      <w:t>2</w:t>
                    </w:r>
                    <w:r>
                      <w:rPr>
                        <w:rFonts w:ascii="Times New Roman" w:hAnsi="Times New Roman"/>
                        <w:szCs w:val="21"/>
                      </w:rPr>
                      <w:fldChar w:fldCharType="end"/>
                    </w:r>
                    <w:r>
                      <w:rPr>
                        <w:rFonts w:ascii="Times New Roman" w:hAnsi="Times New Roman"/>
                        <w:szCs w:val="21"/>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zQ4YTliMWIzYWQ1MGViOGM2M2MzNzdkNjUwNDAifQ=="/>
  </w:docVars>
  <w:rsids>
    <w:rsidRoot w:val="37F75B88"/>
    <w:rsid w:val="37F75B88"/>
    <w:rsid w:val="4F982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Body Text First Indent 2"/>
    <w:unhideWhenUsed/>
    <w:qFormat/>
    <w:uiPriority w:val="0"/>
    <w:pPr>
      <w:widowControl w:val="0"/>
      <w:spacing w:after="120"/>
      <w:ind w:left="420" w:leftChars="200"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1881</Words>
  <Characters>1979</Characters>
  <Lines>0</Lines>
  <Paragraphs>0</Paragraphs>
  <TotalTime>1</TotalTime>
  <ScaleCrop>false</ScaleCrop>
  <LinksUpToDate>false</LinksUpToDate>
  <CharactersWithSpaces>1984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2023-02-10T03:11:00Z</dcterms:created>
  <dc:creator>文档存本地丢失不负责</dc:creator>
  <cp:lastModifiedBy>文档存本地丢失不负责</cp:lastModifiedBy>
  <dcterms:modified xsi:type="dcterms:W3CDTF">2023-02-10T07:35:18Z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5A9D0DEE156F4FA282FC29082971C854</vt:lpwstr>
  </property>
</Properties>
</file>