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等线" w:hAnsi="等线" w:eastAsia="仿宋_GB2312"/>
          <w:b/>
          <w:bCs/>
          <w:sz w:val="36"/>
        </w:rPr>
      </w:pPr>
    </w:p>
    <w:p>
      <w:pPr>
        <w:rPr>
          <w:rFonts w:hint="eastAsia" w:ascii="等线" w:hAnsi="等线" w:eastAsia="仿宋_GB2312"/>
          <w:b/>
          <w:bCs/>
          <w:sz w:val="36"/>
        </w:rPr>
      </w:pPr>
    </w:p>
    <w:tbl>
      <w:tblPr>
        <w:tblStyle w:val="5"/>
        <w:tblW w:w="86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8683" w:type="dxa"/>
            <w:noWrap w:val="0"/>
            <w:vAlign w:val="center"/>
          </w:tcPr>
          <w:p>
            <w:pPr>
              <w:spacing w:line="1100" w:lineRule="exact"/>
              <w:jc w:val="distribute"/>
              <w:rPr>
                <w:rFonts w:ascii="方正小标宋简体" w:hAnsi="华文中宋" w:eastAsia="方正小标宋简体"/>
                <w:b/>
                <w:bCs/>
                <w:color w:val="FF0000"/>
                <w:spacing w:val="-20"/>
                <w:w w:val="70"/>
                <w:sz w:val="100"/>
                <w:szCs w:val="100"/>
              </w:rPr>
            </w:pPr>
            <w:r>
              <w:rPr>
                <w:rFonts w:hint="eastAsia" w:ascii="方正小标宋简体" w:hAnsi="华文中宋" w:eastAsia="方正小标宋简体"/>
                <w:b/>
                <w:bCs/>
                <w:color w:val="FF0000"/>
                <w:spacing w:val="-20"/>
                <w:w w:val="70"/>
                <w:sz w:val="100"/>
                <w:szCs w:val="100"/>
              </w:rPr>
              <w:t>天台县新型冠状病毒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8683" w:type="dxa"/>
            <w:noWrap w:val="0"/>
            <w:vAlign w:val="center"/>
          </w:tcPr>
          <w:p>
            <w:pPr>
              <w:spacing w:line="1100" w:lineRule="exact"/>
              <w:jc w:val="distribute"/>
              <w:rPr>
                <w:rFonts w:ascii="方正小标宋简体" w:hAnsi="华文中宋" w:eastAsia="方正小标宋简体"/>
                <w:b/>
                <w:bCs/>
                <w:color w:val="FF0000"/>
                <w:spacing w:val="-20"/>
                <w:w w:val="70"/>
                <w:sz w:val="100"/>
                <w:szCs w:val="100"/>
              </w:rPr>
            </w:pPr>
            <w:r>
              <w:rPr>
                <w:rFonts w:hint="eastAsia" w:ascii="方正小标宋简体" w:hAnsi="华文中宋" w:eastAsia="方正小标宋简体"/>
                <w:b/>
                <w:bCs/>
                <w:color w:val="FF0000"/>
                <w:spacing w:val="-20"/>
                <w:w w:val="70"/>
                <w:sz w:val="100"/>
                <w:szCs w:val="100"/>
              </w:rPr>
              <w:t>肺炎疫情防控指挥部</w:t>
            </w:r>
          </w:p>
        </w:tc>
      </w:tr>
    </w:tbl>
    <w:p>
      <w:pPr>
        <w:ind w:left="-111" w:leftChars="-89" w:hanging="76" w:hangingChars="21"/>
        <w:rPr>
          <w:rFonts w:hint="eastAsia" w:ascii="等线" w:hAnsi="等线" w:eastAsia="仿宋_GB2312"/>
          <w:b/>
          <w:bCs/>
          <w:sz w:val="36"/>
        </w:rPr>
      </w:pPr>
    </w:p>
    <w:p>
      <w:pPr>
        <w:jc w:val="center"/>
        <w:rPr>
          <w:rFonts w:hint="eastAsia" w:ascii="仿宋_GB2312" w:hAnsi="等线" w:eastAsia="仿宋_GB2312"/>
          <w:b/>
          <w:bCs/>
          <w:sz w:val="32"/>
          <w:szCs w:val="32"/>
        </w:rPr>
      </w:pPr>
      <w:r>
        <w:rPr>
          <w:rFonts w:hint="eastAsia" w:ascii="仿宋_GB2312" w:hAnsi="微软雅黑" w:eastAsia="仿宋_GB2312"/>
          <w:bCs/>
          <w:color w:val="151515"/>
          <w:sz w:val="32"/>
        </w:rPr>
        <w:t>通告</w:t>
      </w:r>
      <w:r>
        <w:rPr>
          <w:rFonts w:hint="eastAsia" w:ascii="仿宋_GB2312" w:hAnsi="微软雅黑" w:eastAsia="仿宋_GB2312"/>
          <w:bCs/>
          <w:color w:val="151515"/>
          <w:sz w:val="32"/>
          <w:lang w:val="en-US" w:eastAsia="zh-CN"/>
        </w:rPr>
        <w:t>54</w:t>
      </w:r>
      <w:r>
        <w:rPr>
          <w:rFonts w:hint="eastAsia" w:ascii="仿宋_GB2312" w:hAnsi="微软雅黑" w:eastAsia="仿宋_GB2312"/>
          <w:bCs/>
          <w:color w:val="151515"/>
          <w:sz w:val="32"/>
        </w:rPr>
        <w:t>号</w:t>
      </w:r>
    </w:p>
    <w:p>
      <w:pPr>
        <w:shd w:val="clear" w:color="auto" w:fill="FFFFFF"/>
        <w:spacing w:line="240" w:lineRule="exact"/>
        <w:jc w:val="center"/>
        <w:rPr>
          <w:rFonts w:ascii="方正小标宋简体" w:hAnsi="微软雅黑" w:eastAsia="方正小标宋简体" w:cs="宋体"/>
          <w:b/>
          <w:bCs/>
          <w:color w:val="151515"/>
          <w:sz w:val="44"/>
        </w:rPr>
      </w:pPr>
      <w:r>
        <w:rPr>
          <w:rFonts w:ascii="仿宋_GB2312" w:hAnsi="等线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99695</wp:posOffset>
                </wp:positionV>
                <wp:extent cx="5732145" cy="0"/>
                <wp:effectExtent l="0" t="13970" r="1905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25pt;margin-top:7.85pt;height:0pt;width:451.35pt;z-index:251660288;mso-width-relative:page;mso-height-relative:page;" filled="f" stroked="t" coordsize="21600,21600" o:gfxdata="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ahPj61wAAAAkBAAAPAAAAAAAAAAEAIAAAACIAAABkcnMvZG93bnJldi54bWxQ&#10;SwECFAAUAAAACACHTuJA9yIfQvgBAADlAwAADgAAAAAAAAABACAAAAAmAQAAZHJzL2Uyb0RvYy54&#10;bWxQSwUGAAAAAAYABgBZAQAAk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spacing w:val="10"/>
          <w:sz w:val="44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spacing w:val="10"/>
          <w:sz w:val="44"/>
          <w:szCs w:val="36"/>
          <w:lang w:val="en-US" w:eastAsia="zh-CN"/>
        </w:rPr>
        <w:t>关于全面落实“十个从严”疫情防控措施的通告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spacing w:val="10"/>
          <w:sz w:val="44"/>
          <w:szCs w:val="36"/>
          <w:lang w:val="en-US" w:eastAsia="zh-CN"/>
        </w:rPr>
      </w:pPr>
    </w:p>
    <w:p>
      <w:pPr>
        <w:widowControl/>
        <w:shd w:val="clear" w:color="auto" w:fill="FFFFFF"/>
        <w:spacing w:line="480" w:lineRule="atLeast"/>
        <w:ind w:firstLine="480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ascii="Calibri" w:hAnsi="Calibri" w:eastAsia="仿宋" w:cs="Calibri"/>
          <w:color w:val="333333"/>
          <w:spacing w:val="8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国内多地相继发生本土疫情，防控形势十分严峻。为降低疫情输入风险，保障全</w:t>
      </w:r>
      <w:r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  <w:t>县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人民群众生命健康安全，现将全面落实“十个从严”疫情防控措施通告如下：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一、从严加强自主申报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近14天内有疫情发生设区市（直辖市为区）旅居史来（返）天台人员，务必第一时间主动向属地乡镇（街道）报告，配合当地落实核酸检测等健康管理措施。</w:t>
      </w:r>
      <w:r>
        <w:rPr>
          <w:rFonts w:hint="eastAsia" w:ascii="仿宋" w:hAnsi="仿宋" w:eastAsia="仿宋" w:cs="宋体"/>
          <w:kern w:val="0"/>
          <w:sz w:val="32"/>
          <w:szCs w:val="32"/>
        </w:rPr>
        <w:t>鼓励各乡镇</w:t>
      </w: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街道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出台群众举报奖励制度。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二、从严加强健康管理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所有需落实集中隔离、居家健康观察、日常健康监测人员必须严格按规范落实健康管理措施。居家健康观察人员严格执行“一人一户”要求，不得外出、不得与他人接触，如遇就医或核酸检测实施闭环转运，因主观原因脱离管控的，一律转为集中隔离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三、从严加强密闭场所管控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酒吧、KTV、麻将馆、棋牌室、洗浴中心、足浴店、SPA馆、艾灸馆、剧本杀、桌游室、网吧等暂停营业（开放营业时间另行通知）。宗教及民间信仰活动场所尚未关闭的从严落实疫情防控措施，暂停举办宗教及民间信仰活动（恢复时间另行通知）。养老机构、托育机构、幼儿园、中小学校、培训机构严格落实防疫措施，外来人员不得入内，暂停所有非必要探访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四、从严加强重点场所管理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商场超市、农贸市场、酒店宾馆、餐饮服务、旅游景区等公共场所，客运车站等交通枢纽，小区、村等要切实履行疫情防控主体责任，明确专人负责，严格落实“测温+亮</w:t>
      </w:r>
      <w:bookmarkStart w:id="0" w:name="_GoBack"/>
      <w:bookmarkEnd w:id="0"/>
      <w:r>
        <w:rPr>
          <w:rFonts w:ascii="仿宋" w:hAnsi="仿宋" w:eastAsia="仿宋" w:cs="宋体"/>
          <w:kern w:val="0"/>
          <w:sz w:val="32"/>
          <w:szCs w:val="32"/>
        </w:rPr>
        <w:t>码（健康码和行程卡）+戴口罩”、日常清洁、通风消毒、保持社交距离、减少人员集聚等措施。沿街商铺经营人员及顾客必须佩戴口罩。严控酒店等各类餐饮场所就餐人数，就餐人员不得超过承载量的70%，大厅桌位间距不小于1米。图书馆、美术馆、博物馆、影院、剧院、旅游景区、体育馆等公共场所接待人数不超过核定人数的50％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五、从严加强聚集活动管控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按照“非必要不举办”“能线上不线下”“谁举办谁负责”“谁审批谁负责”的要求，原则上暂停举办大型会议、展览等人员聚集性活动。必须举办的严格审批，不得邀请中高风险地区所在设区市（直辖市为区）人员参加。“红事”缓办，“白事”简办，并向所在村（社区）报告，严格控制操办规模，市外人员原则上不得参加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六、从严加强外出管理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市民近期非必要不出市，避免前往中高风险地区所在设区市及已有阳性病例报告的地区。确需出行的，务必做好个人防护，不去人员密集场所，减少感染风险。各类公共交通、出租车、网约车的司乘人员要做好个人防护和车辆的通风消毒。党政机关、企事业单位严格外出审批制度，做到人员流动闭环管理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七、从严加强风险监测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所有外市流入行程卡带“*”（星号）的人员，无法提供48小时内核酸检测证明的，应就近到核酸检测机构进行1次核酸检测，并如实告知具体行程轨迹。车站、景区、宾馆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商超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市场等人员流动频繁场所的工作人员要积极配合落实定期核酸检测。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八、从严加强哨点监测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未设置发热门诊（发热诊室）的医疗机构、个体诊所、村卫生室禁止接诊“十大症状”患者，如有违反，一律关停，顶格处理。全县各类药店暂停销售退热、止咳类药品，对购买抗病毒、抗菌等药品的人员，严格实施实名登记、信息报告制度，劝导其到设有发热门诊（发热诊室）医疗机构就诊，如有违反，一律依法依规追究责任。设有发热门诊（诊室）医疗机构确保24小时运行，严格落实首诊负责制及亮码（健康码和行程卡）、测温、核酸检测等疫情防控措施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九、从严加强个人防护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凡符合接种条件的市民，应积极主动接种全程新冠疫苗和加强针疫苗，尤其是60岁以上人群要积极接种疫苗，共同构建全民免疫屏障。坚持科学佩戴口罩，养成“勤洗手、常通风、不聚集、一米线、用公筷”等良好的个人卫生习惯；如出现发热、咳嗽等症状，要佩戴一次性医用外科口罩，及时到就近的医疗机构发热门诊进行排查和诊疗，就医过程避免乘坐公共交通工具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十、从严加强责任落实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各乡镇（街道）、行业主管部门、机关企事业单位（各经营主体单位）、个人要坚决落实疫情防控“四方责任”。对违反疫情防控措施的单位、个人，严格依法依规追究责任。</w:t>
      </w:r>
    </w:p>
    <w:p>
      <w:pPr>
        <w:widowControl/>
        <w:spacing w:line="480" w:lineRule="atLeas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天台各乡镇（街道）联系电话：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赤城街道 83911921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始丰街道 83892916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福溪街道 83811856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平桥镇 83661093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白鹤镇 83778920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坦头镇 83172265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三合镇 83078797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洪畴镇 83010015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街头镇 83030011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石梁镇 83091115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南屏乡 83799105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雷峰乡 83610010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三州乡 83170890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>泳溪乡 83600003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龙溪乡 83039110 </w:t>
      </w:r>
    </w:p>
    <w:p/>
    <w:p>
      <w:pPr>
        <w:widowControl/>
        <w:jc w:val="left"/>
        <w:rPr>
          <w:rFonts w:ascii="Calibri" w:hAnsi="Calibri" w:eastAsia="仿宋" w:cs="Calibri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left="1260" w:leftChars="600" w:firstLine="3520" w:firstLineChars="11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天台</w:t>
      </w:r>
      <w:r>
        <w:rPr>
          <w:rFonts w:ascii="仿宋" w:hAnsi="仿宋" w:eastAsia="仿宋" w:cs="宋体"/>
          <w:kern w:val="0"/>
          <w:sz w:val="32"/>
          <w:szCs w:val="32"/>
        </w:rPr>
        <w:t>县新型冠状病毒肺炎</w:t>
      </w:r>
    </w:p>
    <w:p>
      <w:pPr>
        <w:ind w:left="1260" w:leftChars="600" w:firstLine="4160" w:firstLineChars="13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疫情防控指挥部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2021年12月11日</w:t>
      </w:r>
    </w:p>
    <w:p>
      <w:pPr>
        <w:rPr>
          <w:rFonts w:hint="eastAsia" w:ascii="仿宋" w:hAnsi="仿宋" w:eastAsia="仿宋" w:cs="仿宋"/>
          <w:spacing w:val="10"/>
          <w:kern w:val="2"/>
          <w:sz w:val="32"/>
          <w:szCs w:val="32"/>
          <w:lang w:val="en-US" w:eastAsia="zh-CN" w:bidi="ar-SA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C08C3"/>
    <w:rsid w:val="4274209E"/>
    <w:rsid w:val="50E569ED"/>
    <w:rsid w:val="72C0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2021-12-10T03:05:00Z</dcterms:created>
  <dc:creator>admin111</dc:creator>
  <cp:lastModifiedBy>姜静</cp:lastModifiedBy>
  <dcterms:modified xsi:type="dcterms:W3CDTF">2021-12-11T14:41:32Z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1300CB402C874FB483683E961B93E544</vt:lpwstr>
  </property>
</Properties>
</file>